
<file path=[Content_Types].xml><?xml version="1.0" encoding="utf-8"?>
<Types xmlns="http://schemas.openxmlformats.org/package/2006/content-types">
  <Default Extension="xml" ContentType="application/xml"/>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96597"/>
      <w:bookmarkStart w:id="3" w:name="_Toc15396475"/>
      <w:bookmarkStart w:id="4" w:name="_Toc15377425"/>
      <w:bookmarkStart w:id="5" w:name="_Toc15378441"/>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77426"/>
      <w:bookmarkStart w:id="8" w:name="_Toc15396476"/>
      <w:bookmarkStart w:id="9" w:name="_Toc15396598"/>
      <w:bookmarkStart w:id="10" w:name="_Toc15378442"/>
      <w:r>
        <w:rPr>
          <w:rFonts w:hint="eastAsia" w:ascii="方正小标宋简体" w:hAnsi="宋体" w:eastAsia="方正小标宋简体"/>
          <w:color w:val="000000"/>
          <w:sz w:val="72"/>
          <w:szCs w:val="72"/>
        </w:rPr>
        <w:t>阿坝州</w:t>
      </w:r>
      <w:bookmarkEnd w:id="0"/>
      <w:bookmarkStart w:id="11" w:name="_Toc15306268"/>
      <w:r>
        <w:rPr>
          <w:rFonts w:hint="eastAsia" w:ascii="方正小标宋简体" w:hAnsi="宋体" w:eastAsia="方正小标宋简体"/>
          <w:color w:val="000000"/>
          <w:sz w:val="72"/>
          <w:szCs w:val="72"/>
        </w:rPr>
        <w:t>医保局部门决算</w:t>
      </w:r>
      <w:bookmarkEnd w:id="6"/>
      <w:bookmarkEnd w:id="7"/>
      <w:bookmarkEnd w:id="8"/>
      <w:bookmarkEnd w:id="9"/>
      <w:bookmarkEnd w:id="10"/>
      <w:bookmarkEnd w:id="11"/>
    </w:p>
    <w:p>
      <w:pPr>
        <w:widowControl/>
        <w:jc w:val="center"/>
        <w:rPr>
          <w:rFonts w:ascii="方正小标宋简体" w:hAnsi="宋体" w:eastAsia="方正小标宋简体"/>
          <w:color w:val="000000"/>
          <w:sz w:val="36"/>
          <w:szCs w:val="36"/>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黑体"/>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1"/>
      </w:pPr>
      <w:r>
        <w:rPr>
          <w:rFonts w:hint="eastAsia"/>
        </w:rPr>
        <w:t>公开时间：2019年</w:t>
      </w:r>
      <w:r>
        <w:t>9</w:t>
      </w:r>
      <w:r>
        <w:rPr>
          <w:rFonts w:hint="eastAsia"/>
        </w:rPr>
        <w:t>月29日</w:t>
      </w:r>
    </w:p>
    <w:p/>
    <w:p>
      <w:pPr>
        <w:pStyle w:val="11"/>
        <w:rPr>
          <w:rFonts w:cs="黑体"/>
        </w:rPr>
      </w:pPr>
      <w:r>
        <w:fldChar w:fldCharType="begin"/>
      </w:r>
      <w:r>
        <w:instrText xml:space="preserve"> HYPERLINK \l "_Toc15396599" </w:instrText>
      </w:r>
      <w:r>
        <w:fldChar w:fldCharType="separate"/>
      </w:r>
      <w:r>
        <w:rPr>
          <w:rStyle w:val="16"/>
          <w:rFonts w:hint="eastAsia"/>
        </w:rPr>
        <w:t>第一部分部门概况</w:t>
      </w:r>
      <w:r>
        <w:tab/>
      </w:r>
      <w:r>
        <w:rPr>
          <w:rFonts w:hint="eastAsia"/>
        </w:rPr>
        <w:t>4</w:t>
      </w:r>
      <w:r>
        <w:rPr>
          <w:rFonts w:hint="eastAsia"/>
        </w:rPr>
        <w:fldChar w:fldCharType="end"/>
      </w:r>
    </w:p>
    <w:p>
      <w:pPr>
        <w:pStyle w:val="12"/>
        <w:rPr>
          <w:rFonts w:ascii="仿宋" w:hAnsi="仿宋" w:eastAsia="仿宋" w:cs="黑体"/>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2"/>
        <w:rPr>
          <w:rFonts w:ascii="仿宋" w:hAnsi="仿宋" w:eastAsia="仿宋" w:cs="黑体"/>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1"/>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2"/>
        <w:rPr>
          <w:rFonts w:ascii="仿宋" w:hAnsi="仿宋" w:eastAsia="仿宋" w:cs="黑体"/>
          <w:sz w:val="28"/>
          <w:szCs w:val="28"/>
        </w:rPr>
      </w:pPr>
      <w:r>
        <w:fldChar w:fldCharType="begin"/>
      </w:r>
      <w:r>
        <w:instrText xml:space="preserve"> HYPERLINK \l "_Toc15396603" </w:instrText>
      </w:r>
      <w:r>
        <w:fldChar w:fldCharType="separate"/>
      </w:r>
      <w:r>
        <w:rPr>
          <w:rStyle w:val="16"/>
          <w:rFonts w:hint="eastAsia" w:ascii="仿宋" w:hAnsi="仿宋" w:eastAsia="仿宋" w:cs="黑体"/>
          <w:bCs/>
          <w:sz w:val="28"/>
          <w:szCs w:val="28"/>
        </w:rPr>
        <w:t>一、</w:t>
      </w:r>
      <w:r>
        <w:rPr>
          <w:rStyle w:val="16"/>
          <w:rFonts w:hint="eastAsia" w:ascii="仿宋" w:hAnsi="仿宋" w:eastAsia="仿宋"/>
          <w:sz w:val="28"/>
          <w:szCs w:val="28"/>
        </w:rPr>
        <w:t>收</w:t>
      </w:r>
      <w:r>
        <w:rPr>
          <w:rStyle w:val="16"/>
          <w:rFonts w:hint="eastAsia" w:ascii="仿宋" w:hAnsi="仿宋" w:eastAsia="仿宋" w:cs="黑体"/>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fldChar w:fldCharType="begin"/>
      </w:r>
      <w:r>
        <w:instrText xml:space="preserve"> HYPERLINK \l "_Toc15396604" </w:instrText>
      </w:r>
      <w:r>
        <w:fldChar w:fldCharType="separate"/>
      </w:r>
      <w:r>
        <w:rPr>
          <w:rStyle w:val="16"/>
          <w:rFonts w:hint="eastAsia" w:ascii="仿宋" w:hAnsi="仿宋" w:eastAsia="仿宋" w:cs="黑体"/>
          <w:bCs/>
          <w:sz w:val="28"/>
          <w:szCs w:val="28"/>
        </w:rPr>
        <w:t>二、</w:t>
      </w:r>
      <w:r>
        <w:rPr>
          <w:rStyle w:val="16"/>
          <w:rFonts w:hint="eastAsia" w:ascii="仿宋" w:hAnsi="仿宋" w:eastAsia="仿宋"/>
          <w:sz w:val="28"/>
          <w:szCs w:val="28"/>
        </w:rPr>
        <w:t>收</w:t>
      </w:r>
      <w:r>
        <w:rPr>
          <w:rStyle w:val="16"/>
          <w:rFonts w:hint="eastAsia" w:ascii="仿宋" w:hAnsi="仿宋" w:eastAsia="仿宋" w:cs="黑体"/>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fldChar w:fldCharType="begin"/>
      </w:r>
      <w:r>
        <w:instrText xml:space="preserve"> HYPERLINK \l "_Toc15396605" </w:instrText>
      </w:r>
      <w:r>
        <w:fldChar w:fldCharType="separate"/>
      </w:r>
      <w:r>
        <w:rPr>
          <w:rStyle w:val="16"/>
          <w:rFonts w:hint="eastAsia" w:ascii="仿宋" w:hAnsi="仿宋" w:eastAsia="仿宋" w:cs="黑体"/>
          <w:bCs/>
          <w:sz w:val="28"/>
          <w:szCs w:val="28"/>
        </w:rPr>
        <w:t>三、</w:t>
      </w:r>
      <w:r>
        <w:rPr>
          <w:rStyle w:val="16"/>
          <w:rFonts w:hint="eastAsia" w:ascii="仿宋" w:hAnsi="仿宋" w:eastAsia="仿宋"/>
          <w:sz w:val="28"/>
          <w:szCs w:val="28"/>
        </w:rPr>
        <w:t>支</w:t>
      </w:r>
      <w:r>
        <w:rPr>
          <w:rStyle w:val="16"/>
          <w:rFonts w:hint="eastAsia" w:ascii="仿宋" w:hAnsi="仿宋" w:eastAsia="仿宋" w:cs="黑体"/>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黑体"/>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黑体"/>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黑体"/>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黑体"/>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黑体"/>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fldChar w:fldCharType="begin"/>
      </w:r>
      <w:r>
        <w:instrText xml:space="preserve"> HYPERLINK \l "_Toc15396611" </w:instrText>
      </w:r>
      <w:r>
        <w:fldChar w:fldCharType="separate"/>
      </w:r>
      <w:r>
        <w:rPr>
          <w:rStyle w:val="16"/>
          <w:rFonts w:hint="eastAsia" w:ascii="仿宋" w:hAnsi="仿宋" w:eastAsia="仿宋" w:cs="黑体"/>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黑体"/>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黑体"/>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cs="黑体"/>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1"/>
        <w:rPr>
          <w:rFonts w:cs="黑体"/>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四部分附件</w:t>
      </w:r>
      <w:r>
        <w:tab/>
      </w:r>
      <w:r>
        <w:fldChar w:fldCharType="begin"/>
      </w:r>
      <w:r>
        <w:instrText xml:space="preserve"> PAGEREF _Toc15396614 \h </w:instrText>
      </w:r>
      <w:r>
        <w:fldChar w:fldCharType="separate"/>
      </w:r>
      <w:r>
        <w:t>19</w:t>
      </w:r>
      <w:r>
        <w:fldChar w:fldCharType="end"/>
      </w:r>
      <w:r>
        <w:fldChar w:fldCharType="end"/>
      </w:r>
    </w:p>
    <w:p>
      <w:pPr>
        <w:pStyle w:val="12"/>
        <w:rPr>
          <w:rFonts w:ascii="仿宋" w:hAnsi="仿宋" w:eastAsia="仿宋" w:cs="黑体"/>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1"/>
        <w:rPr>
          <w:rFonts w:cs="黑体"/>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五部分附表</w:t>
      </w:r>
      <w:r>
        <w:tab/>
      </w:r>
      <w:r>
        <w:fldChar w:fldCharType="begin"/>
      </w:r>
      <w:r>
        <w:instrText xml:space="preserve"> PAGEREF _Toc15396618 \h </w:instrText>
      </w:r>
      <w:r>
        <w:fldChar w:fldCharType="separate"/>
      </w:r>
      <w:r>
        <w:t>22</w:t>
      </w:r>
      <w:r>
        <w:fldChar w:fldCharType="end"/>
      </w:r>
      <w:r>
        <w:fldChar w:fldCharType="end"/>
      </w:r>
    </w:p>
    <w:p>
      <w:pPr>
        <w:pStyle w:val="12"/>
        <w:rPr>
          <w:rFonts w:ascii="仿宋" w:hAnsi="仿宋" w:eastAsia="仿宋" w:cs="黑体"/>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2"/>
        <w:rPr>
          <w:rFonts w:ascii="仿宋" w:hAnsi="仿宋" w:eastAsia="仿宋" w:cs="黑体"/>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6"/>
          <w:rFonts w:ascii="黑体" w:hAnsi="黑体" w:eastAsia="黑体"/>
          <w:b/>
          <w:bCs w:val="0"/>
        </w:rPr>
      </w:pPr>
      <w:r>
        <w:rPr>
          <w:rFonts w:hint="eastAsia" w:ascii="黑体" w:hAnsi="黑体" w:eastAsia="黑体"/>
          <w:b w:val="0"/>
        </w:rPr>
        <w:t xml:space="preserve">第一部分 </w:t>
      </w:r>
      <w:r>
        <w:rPr>
          <w:rStyle w:val="26"/>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7"/>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7"/>
          <w:rFonts w:hint="eastAsia" w:ascii="黑体" w:hAnsi="黑体" w:eastAsia="黑体"/>
          <w:b w:val="0"/>
          <w:bCs w:val="0"/>
        </w:rPr>
        <w:t>本职能及主要工作</w:t>
      </w:r>
      <w:bookmarkEnd w:id="14"/>
      <w:bookmarkEnd w:id="15"/>
    </w:p>
    <w:p>
      <w:pPr>
        <w:pStyle w:val="6"/>
        <w:tabs>
          <w:tab w:val="left" w:pos="851"/>
        </w:tabs>
        <w:spacing w:after="0" w:line="560" w:lineRule="exact"/>
        <w:ind w:left="0" w:leftChars="0" w:firstLine="640" w:firstLineChars="200"/>
        <w:rPr>
          <w:rFonts w:ascii="仿宋_GB2312" w:hAnsi="仿宋" w:eastAsia="仿宋_GB2312"/>
          <w:color w:val="000000"/>
          <w:sz w:val="32"/>
          <w:szCs w:val="32"/>
        </w:rPr>
      </w:pPr>
      <w:bookmarkStart w:id="16" w:name="_Toc15378445"/>
      <w:bookmarkStart w:id="17" w:name="_Toc15377198"/>
      <w:r>
        <w:rPr>
          <w:rFonts w:hint="eastAsia" w:ascii="仿宋_GB2312" w:hAnsi="仿宋" w:eastAsia="仿宋_GB2312"/>
          <w:color w:val="000000"/>
          <w:sz w:val="32"/>
          <w:szCs w:val="32"/>
        </w:rPr>
        <w:t>（一）主要职能。</w:t>
      </w:r>
      <w:bookmarkEnd w:id="16"/>
      <w:bookmarkEnd w:id="17"/>
    </w:p>
    <w:p>
      <w:pPr>
        <w:pStyle w:val="6"/>
        <w:tabs>
          <w:tab w:val="left" w:pos="851"/>
        </w:tabs>
        <w:spacing w:after="0" w:line="560" w:lineRule="exact"/>
        <w:ind w:left="0" w:lef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根据《国务院关于建立城镇职工基本医疗保险制度的决定》（国发[1998]44号）、《国务院关于整合城乡居民基本医疗保险制度的意见》（国发〔2016〕3号）、《社会保险法》、《社会保险费征缴暂行条例》（国务院第259号令）、《社会保险登记管理暂行办法》（劳动保障部第1号令）、《社会保险费申报缴纳管理规定》（人力资源和社会保障部20号令）、《社会保险费征缴监督检查办法》（劳动保障部第3号令）、《社会保险基金财务制度》、《社会保险稽核办法》（劳动保障部第16号令）、阿坝州人民政府《转发省人民政府关于阿坝州城镇职工基本医疗保险暂行办法的批复的通知》（阿府发〔2000〕166号）、《阿坝州城乡居民基本医疗保险实施办法》、《阿坝州城乡居民基本医疗保险实施细则》等法规政策，设置阿坝州医疗保险管理局的工作职责。</w:t>
      </w:r>
    </w:p>
    <w:p>
      <w:pPr>
        <w:pStyle w:val="6"/>
        <w:tabs>
          <w:tab w:val="left" w:pos="851"/>
        </w:tabs>
        <w:spacing w:after="0" w:line="560" w:lineRule="exact"/>
        <w:ind w:left="0" w:lef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围绕国家建立社会保障系统的总体目标要求，贯彻落实医疗保险的法律法规和制度，执行政府赋予医疗保险经办机构的职责，参与制定政府医疗保险法规、政策和计划，合理有效地开展医疗保险业务，促进医疗保险事业可持续发展。</w:t>
      </w:r>
    </w:p>
    <w:p>
      <w:pPr>
        <w:pStyle w:val="6"/>
        <w:tabs>
          <w:tab w:val="left" w:pos="851"/>
        </w:tabs>
        <w:spacing w:after="0" w:line="560" w:lineRule="exact"/>
        <w:ind w:left="0" w:lef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负责组织实施州本级职工医疗保险计划，依照法律规定筹集、管理、使用医疗保险基金，组织、指导、监督管理全州各级医疗保险经办机构的业务工作。负责医疗保险政策的宣传，参与配合行政部门对有关医疗保险事宜的处理工作。</w:t>
      </w:r>
    </w:p>
    <w:p>
      <w:pPr>
        <w:pStyle w:val="6"/>
        <w:tabs>
          <w:tab w:val="left" w:pos="851"/>
        </w:tabs>
        <w:spacing w:after="0" w:line="560" w:lineRule="exact"/>
        <w:ind w:left="0" w:lef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1.负责承办州本级党政机关、事业单位、中央及省驻州企业的医疗保险登记、变更登记以及参保职工医疗保险关系转移、接续事项。</w:t>
      </w:r>
    </w:p>
    <w:p>
      <w:pPr>
        <w:pStyle w:val="6"/>
        <w:tabs>
          <w:tab w:val="left" w:pos="851"/>
        </w:tabs>
        <w:spacing w:after="0" w:line="560" w:lineRule="exact"/>
        <w:ind w:left="0" w:lef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2.负责参保职工个人帐户建账及结算、转移管理工作，并提供个人权益记录的查询服务。</w:t>
      </w:r>
    </w:p>
    <w:p>
      <w:pPr>
        <w:pStyle w:val="6"/>
        <w:tabs>
          <w:tab w:val="left" w:pos="851"/>
        </w:tabs>
        <w:spacing w:after="0" w:line="560" w:lineRule="exact"/>
        <w:ind w:left="0" w:lef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3.负责州本级参保人员医疗费用的审核结算工作，以及参保人员的转诊转院及特殊疾病门诊补助、特殊检查、特殊治疗、特殊用药的审核工作。</w:t>
      </w:r>
    </w:p>
    <w:p>
      <w:pPr>
        <w:pStyle w:val="6"/>
        <w:tabs>
          <w:tab w:val="left" w:pos="851"/>
        </w:tabs>
        <w:spacing w:after="0" w:line="560" w:lineRule="exact"/>
        <w:ind w:left="0" w:lef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4.根据《社会保险基金财务制度》和《社会保险基金会计制度》，负责本级医疗保险基金的核算、管理和使用工作。按要求编制医疗保险基金收支预、决算报告，定期对基金收支情况进行分析、预测，并向有关部门提供基金运行情况报告。</w:t>
      </w:r>
    </w:p>
    <w:p>
      <w:pPr>
        <w:pStyle w:val="6"/>
        <w:tabs>
          <w:tab w:val="left" w:pos="851"/>
        </w:tabs>
        <w:spacing w:after="0" w:line="560" w:lineRule="exact"/>
        <w:ind w:left="0" w:lef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5.负责全州医疗保险基金会计报表、统计报表的编审工作。</w:t>
      </w:r>
    </w:p>
    <w:p>
      <w:pPr>
        <w:pStyle w:val="6"/>
        <w:tabs>
          <w:tab w:val="left" w:pos="851"/>
        </w:tabs>
        <w:spacing w:after="0" w:line="560" w:lineRule="exact"/>
        <w:ind w:left="0" w:lef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6.负责州级机关、事业单位和州属企业的老红军、离休干部以及1至6级伤残军人（警察）的医疗费用统筹管理。</w:t>
      </w:r>
    </w:p>
    <w:p>
      <w:pPr>
        <w:pStyle w:val="6"/>
        <w:tabs>
          <w:tab w:val="left" w:pos="851"/>
        </w:tabs>
        <w:spacing w:after="0" w:line="560" w:lineRule="exact"/>
        <w:ind w:left="0" w:lef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7.负责大病补充医疗保险、公务员医疗补助的筹集、支付和管理。</w:t>
      </w:r>
    </w:p>
    <w:p>
      <w:pPr>
        <w:pStyle w:val="6"/>
        <w:tabs>
          <w:tab w:val="left" w:pos="851"/>
        </w:tabs>
        <w:spacing w:after="0" w:line="560" w:lineRule="exact"/>
        <w:ind w:left="0" w:lef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8.负责全州城乡居民基本医疗保险基金和大病保险基金管理使用工作。</w:t>
      </w:r>
    </w:p>
    <w:p>
      <w:pPr>
        <w:pStyle w:val="6"/>
        <w:tabs>
          <w:tab w:val="left" w:pos="851"/>
        </w:tabs>
        <w:spacing w:after="0" w:line="560" w:lineRule="exact"/>
        <w:ind w:left="0" w:lef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9.负责全州医药机构协议管理，并对其为参保职工、居民提供的医疗服务项目和执行医疗保险有关政策规定情况进行监督检查和质量的考核评定工作。</w:t>
      </w:r>
    </w:p>
    <w:p>
      <w:pPr>
        <w:pStyle w:val="6"/>
        <w:tabs>
          <w:tab w:val="left" w:pos="851"/>
        </w:tabs>
        <w:spacing w:after="0" w:line="560" w:lineRule="exact"/>
        <w:ind w:left="0" w:lef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10.负责全州疾病应急救助资金的管理和使用工作。</w:t>
      </w:r>
    </w:p>
    <w:p>
      <w:pPr>
        <w:pStyle w:val="6"/>
        <w:tabs>
          <w:tab w:val="left" w:pos="851"/>
        </w:tabs>
        <w:spacing w:after="0" w:line="560" w:lineRule="exact"/>
        <w:ind w:left="0" w:lef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11.根据《社会保险费征缴暂行条例》和《社会保险稽核办法》，开展参保登记和缴费情况的稽核，开展医疗费用稽查。</w:t>
      </w:r>
    </w:p>
    <w:p>
      <w:pPr>
        <w:pStyle w:val="6"/>
        <w:tabs>
          <w:tab w:val="left" w:pos="851"/>
        </w:tabs>
        <w:spacing w:after="0" w:line="560" w:lineRule="exact"/>
        <w:ind w:left="0" w:leftChars="0"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12.负责全州城镇职工、城乡居民医疗基金的监督和管理。开展医保基金运行监控机制建设工作，完善基金管理内控制度。</w:t>
      </w:r>
    </w:p>
    <w:p>
      <w:pPr>
        <w:pStyle w:val="5"/>
        <w:adjustRightInd w:val="0"/>
        <w:snapToGrid w:val="0"/>
        <w:spacing w:before="93" w:line="600" w:lineRule="exact"/>
        <w:ind w:firstLine="672" w:firstLineChars="210"/>
        <w:rPr>
          <w:bCs/>
          <w:color w:val="000000"/>
          <w:sz w:val="32"/>
          <w:szCs w:val="32"/>
          <w:highlight w:val="yellow"/>
        </w:rPr>
      </w:pPr>
      <w:r>
        <w:rPr>
          <w:rFonts w:hint="eastAsia" w:hAnsi="仿宋"/>
          <w:color w:val="000000"/>
          <w:sz w:val="32"/>
          <w:szCs w:val="32"/>
        </w:rPr>
        <w:t>13.负责对各县医疗保险经办机构进行指导、培训，做好医疗保险政策咨询工作以及医疗保险业务档案的归档、保管工作。</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Style w:val="5"/>
        <w:adjustRightInd w:val="0"/>
        <w:snapToGrid w:val="0"/>
        <w:spacing w:before="93" w:line="600" w:lineRule="exact"/>
        <w:ind w:firstLine="672" w:firstLineChars="210"/>
        <w:rPr>
          <w:rFonts w:hint="eastAsia" w:ascii="仿宋" w:hAnsi="仿宋" w:eastAsia="仿宋" w:cs="仿宋"/>
          <w:color w:val="000000"/>
          <w:sz w:val="32"/>
          <w:szCs w:val="32"/>
        </w:rPr>
      </w:pPr>
      <w:r>
        <w:rPr>
          <w:rFonts w:hint="eastAsia" w:hAnsi="仿宋"/>
          <w:color w:val="000000"/>
          <w:sz w:val="32"/>
          <w:szCs w:val="32"/>
        </w:rPr>
        <w:t>1.</w:t>
      </w:r>
      <w:r>
        <w:rPr>
          <w:rFonts w:hint="eastAsia" w:hAnsi="仿宋_GB2312" w:cs="仿宋_GB2312"/>
          <w:bCs/>
          <w:color w:val="000000"/>
          <w:sz w:val="32"/>
          <w:szCs w:val="32"/>
        </w:rPr>
        <w:t xml:space="preserve"> 全州医保系统将稳定基本医疗保险参保覆盖率作为惠民政策落地的首要任务，为稳定参保覆盖率，州、县人社系统</w:t>
      </w:r>
      <w:r>
        <w:rPr>
          <w:rFonts w:hint="eastAsia" w:ascii="仿宋" w:hAnsi="仿宋" w:eastAsia="仿宋" w:cs="仿宋"/>
          <w:bCs/>
          <w:color w:val="000000"/>
          <w:sz w:val="32"/>
          <w:szCs w:val="32"/>
        </w:rPr>
        <w:t>充分</w:t>
      </w:r>
      <w:r>
        <w:rPr>
          <w:rFonts w:hint="eastAsia" w:ascii="仿宋" w:hAnsi="仿宋" w:eastAsia="仿宋" w:cs="仿宋"/>
          <w:color w:val="000000"/>
          <w:sz w:val="32"/>
          <w:szCs w:val="32"/>
        </w:rPr>
        <w:t>利用电视台等传统媒体和微信等新兴媒体进行宣传，采取“进村、入户、到社区”等形式，在医院、学校、街道等人员相对集中的地区宣传医保政策，通过发放宣传单、宣传册、悬挂横幅、现场解答政策等方式加大政策宣传，使医保政策家喻户晓，进一步提高群众的主动参保意识，全州扩面征收均实现完成目标任务的100%。</w:t>
      </w:r>
    </w:p>
    <w:p>
      <w:pPr>
        <w:pStyle w:val="5"/>
        <w:adjustRightInd w:val="0"/>
        <w:snapToGrid w:val="0"/>
        <w:spacing w:before="93" w:line="600" w:lineRule="exact"/>
        <w:ind w:firstLine="672" w:firstLineChars="210"/>
        <w:rPr>
          <w:rFonts w:hint="eastAsia" w:hAnsi="仿宋"/>
          <w:color w:val="000000"/>
          <w:sz w:val="32"/>
          <w:szCs w:val="32"/>
        </w:rPr>
      </w:pPr>
      <w:r>
        <w:rPr>
          <w:rFonts w:hint="eastAsia" w:hAnsi="仿宋"/>
          <w:color w:val="000000"/>
          <w:sz w:val="32"/>
          <w:szCs w:val="32"/>
        </w:rPr>
        <w:t>2.不断完善异地就医即时结算工作。根据省级平台建设规划要求，做好普通门诊联网工作，满足参保患者异地就医即时结算的需求。</w:t>
      </w:r>
    </w:p>
    <w:p>
      <w:pPr>
        <w:pStyle w:val="5"/>
        <w:adjustRightInd w:val="0"/>
        <w:snapToGrid w:val="0"/>
        <w:spacing w:before="93" w:line="600" w:lineRule="exact"/>
        <w:ind w:firstLine="672" w:firstLineChars="210"/>
        <w:rPr>
          <w:rFonts w:hint="eastAsia" w:hAnsi="仿宋"/>
          <w:color w:val="000000"/>
          <w:sz w:val="32"/>
          <w:szCs w:val="32"/>
        </w:rPr>
      </w:pPr>
      <w:r>
        <w:rPr>
          <w:rFonts w:hint="eastAsia" w:hAnsi="仿宋"/>
          <w:color w:val="000000"/>
          <w:sz w:val="32"/>
          <w:szCs w:val="32"/>
        </w:rPr>
        <w:t>3.深入推进“两定”服务监管。充分利用本州医疗保险监管信息系统，不断提高对“两定”医药服务行为的监管水平，有效规范其服务行为。加大社会保险欺诈入刑舆论宣传力度，强化对医疗机构的监管巡查力度，在全州范围内开展联动监管重点查处药店、医院的违规骗保行为，确保医保基金安全。</w:t>
      </w:r>
    </w:p>
    <w:p>
      <w:pPr>
        <w:pStyle w:val="5"/>
        <w:adjustRightInd w:val="0"/>
        <w:snapToGrid w:val="0"/>
        <w:spacing w:before="93" w:line="600" w:lineRule="exact"/>
        <w:ind w:firstLine="672" w:firstLineChars="210"/>
        <w:rPr>
          <w:rFonts w:hint="eastAsia" w:hAnsi="仿宋"/>
          <w:color w:val="000000"/>
          <w:sz w:val="32"/>
          <w:szCs w:val="32"/>
        </w:rPr>
      </w:pPr>
      <w:r>
        <w:rPr>
          <w:rFonts w:hint="eastAsia" w:hAnsi="仿宋"/>
          <w:color w:val="000000"/>
          <w:sz w:val="32"/>
          <w:szCs w:val="32"/>
        </w:rPr>
        <w:t>4.着力提升城乡居民整合经办服务质量。按照《四川省城乡居民基本医疗保险经办服务规程》，督导各县（市、区）医保经办机构，全力做好城乡居民参保、待遇审核、待遇支付等业务经办指导，理顺管理体制，着力提高统筹整合工作质量，确保城乡居民享受优质的经办管理服务。</w:t>
      </w:r>
    </w:p>
    <w:p>
      <w:pPr>
        <w:pStyle w:val="5"/>
        <w:adjustRightInd w:val="0"/>
        <w:snapToGrid w:val="0"/>
        <w:spacing w:before="93" w:line="600" w:lineRule="exact"/>
        <w:ind w:firstLine="672" w:firstLineChars="210"/>
        <w:rPr>
          <w:rFonts w:hint="eastAsia" w:hAnsi="仿宋"/>
          <w:color w:val="000000"/>
          <w:sz w:val="32"/>
          <w:szCs w:val="32"/>
        </w:rPr>
      </w:pPr>
      <w:r>
        <w:rPr>
          <w:rFonts w:hint="eastAsia" w:hAnsi="仿宋"/>
          <w:color w:val="000000"/>
          <w:sz w:val="32"/>
          <w:szCs w:val="32"/>
        </w:rPr>
        <w:t>5.切实抓好城镇职工州级统筹新政策实施。一是加大城镇职工基本医疗保险新增政策的宣传工作。按照专项宣传工作实施方案，组织全州医保经办机构采取依托州电视台、各地方电视台、各地方门户网站，通过开设专版、专栏或专题节目等方式，结合实地宣传开展职工医保新政策的宣传。二是抓好系统业务经办人员培训。按照新政策要求，切实做好业务经办人员培训，切实保障参保人员医疗保险待遇。</w:t>
      </w:r>
    </w:p>
    <w:p>
      <w:pPr>
        <w:pStyle w:val="5"/>
        <w:adjustRightInd w:val="0"/>
        <w:snapToGrid w:val="0"/>
        <w:spacing w:before="93" w:line="600" w:lineRule="exact"/>
        <w:ind w:firstLine="672" w:firstLineChars="210"/>
        <w:rPr>
          <w:rFonts w:hint="eastAsia" w:hAnsi="仿宋"/>
          <w:color w:val="000000"/>
          <w:sz w:val="32"/>
          <w:szCs w:val="32"/>
        </w:rPr>
      </w:pPr>
      <w:r>
        <w:rPr>
          <w:rFonts w:hint="eastAsia" w:hAnsi="仿宋"/>
          <w:color w:val="000000"/>
          <w:sz w:val="32"/>
          <w:szCs w:val="32"/>
        </w:rPr>
        <w:t>6.继续深入推进医保精准扶贫工作。按照省、州医保精准扶贫工作要求，着力解决建档立卡贫困人口“因病致贫、因病返贫”问题，切实保障建档立卡贫困人口医疗待遇，推动全州医疗保障扶贫攻坚新突破。</w:t>
      </w:r>
      <w:bookmarkStart w:id="20" w:name="_Toc15396601"/>
      <w:bookmarkStart w:id="21" w:name="_Toc15377200"/>
    </w:p>
    <w:p>
      <w:pPr>
        <w:pStyle w:val="5"/>
        <w:adjustRightInd w:val="0"/>
        <w:snapToGrid w:val="0"/>
        <w:spacing w:before="93" w:line="600" w:lineRule="exact"/>
        <w:ind w:firstLine="632" w:firstLineChars="210"/>
        <w:rPr>
          <w:rStyle w:val="27"/>
          <w:rFonts w:ascii="仿宋_GB2312" w:hAnsi="仿宋" w:eastAsia="仿宋_GB2312" w:cs="Times New Roman"/>
          <w:b w:val="0"/>
          <w:bCs w:val="0"/>
          <w:color w:val="000000"/>
          <w:kern w:val="0"/>
        </w:rPr>
      </w:pPr>
      <w:r>
        <w:rPr>
          <w:rFonts w:hint="eastAsia" w:ascii="黑体" w:eastAsia="黑体"/>
          <w:b/>
          <w:color w:val="000000"/>
        </w:rPr>
        <w:t>二、</w:t>
      </w:r>
      <w:r>
        <w:rPr>
          <w:rFonts w:hint="eastAsia" w:ascii="黑体" w:hAnsi="黑体" w:eastAsia="黑体"/>
          <w:b/>
          <w:color w:val="000000"/>
        </w:rPr>
        <w:t>机</w:t>
      </w:r>
      <w:r>
        <w:rPr>
          <w:rStyle w:val="27"/>
          <w:rFonts w:hint="eastAsia" w:ascii="黑体" w:hAnsi="黑体" w:eastAsia="黑体"/>
        </w:rPr>
        <w:t>构设置</w:t>
      </w:r>
      <w:bookmarkEnd w:id="20"/>
      <w:bookmarkEnd w:id="21"/>
    </w:p>
    <w:p>
      <w:pPr>
        <w:ind w:firstLine="800" w:firstLineChars="250"/>
        <w:rPr>
          <w:rFonts w:ascii="仿宋" w:hAnsi="仿宋" w:eastAsia="仿宋"/>
          <w:sz w:val="32"/>
          <w:szCs w:val="32"/>
        </w:rPr>
      </w:pPr>
      <w:r>
        <w:rPr>
          <w:rFonts w:hint="eastAsia" w:ascii="仿宋" w:hAnsi="仿宋" w:eastAsia="仿宋"/>
          <w:sz w:val="32"/>
          <w:szCs w:val="32"/>
        </w:rPr>
        <w:t>阿坝州医保局为参照公务员法管理的事业单位。单位核定编制数30名，实有在职职工25人，退休人员1人。无下属单位。</w:t>
      </w:r>
    </w:p>
    <w:p>
      <w:pPr>
        <w:ind w:firstLine="800" w:firstLineChars="250"/>
        <w:rPr>
          <w:rFonts w:ascii="仿宋" w:hAnsi="仿宋" w:eastAsia="仿宋"/>
          <w:sz w:val="32"/>
          <w:szCs w:val="32"/>
        </w:rPr>
      </w:pPr>
      <w:r>
        <w:rPr>
          <w:rFonts w:hint="eastAsia" w:ascii="仿宋" w:hAnsi="仿宋" w:eastAsia="仿宋"/>
          <w:sz w:val="32"/>
          <w:szCs w:val="32"/>
        </w:rPr>
        <w:br w:type="page"/>
      </w:r>
    </w:p>
    <w:p>
      <w:pPr>
        <w:pStyle w:val="2"/>
        <w:ind w:right="440"/>
        <w:jc w:val="right"/>
        <w:rPr>
          <w:rStyle w:val="26"/>
          <w:rFonts w:ascii="黑体" w:hAnsi="黑体" w:eastAsia="黑体"/>
          <w:b w:val="0"/>
          <w:bCs w:val="0"/>
        </w:rPr>
      </w:pPr>
      <w:bookmarkStart w:id="22" w:name="_Toc15377204"/>
      <w:bookmarkStart w:id="23" w:name="_Toc15396602"/>
      <w:r>
        <w:rPr>
          <w:rFonts w:hint="eastAsia" w:ascii="黑体" w:hAnsi="黑体" w:eastAsia="黑体"/>
          <w:b w:val="0"/>
          <w:color w:val="000000"/>
        </w:rPr>
        <w:t>第二部分</w:t>
      </w:r>
      <w:r>
        <w:rPr>
          <w:rStyle w:val="26"/>
          <w:rFonts w:hint="eastAsia" w:ascii="黑体" w:hAnsi="黑体" w:eastAsia="黑体"/>
          <w:b w:val="0"/>
          <w:bCs w:val="0"/>
        </w:rPr>
        <w:t>2018年度部门决算情况说明</w:t>
      </w:r>
      <w:bookmarkEnd w:id="22"/>
      <w:bookmarkEnd w:id="23"/>
    </w:p>
    <w:p/>
    <w:p>
      <w:pPr>
        <w:pStyle w:val="18"/>
        <w:numPr>
          <w:ilvl w:val="0"/>
          <w:numId w:val="1"/>
        </w:numPr>
        <w:spacing w:line="600" w:lineRule="exact"/>
        <w:ind w:firstLineChars="0"/>
        <w:outlineLvl w:val="1"/>
        <w:rPr>
          <w:rStyle w:val="27"/>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2018年度收入</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支出</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1340.55</w:t>
      </w:r>
      <w:r>
        <w:rPr>
          <w:rFonts w:hint="eastAsia" w:ascii="仿宋" w:hAnsi="仿宋" w:eastAsia="仿宋"/>
          <w:color w:val="000000"/>
          <w:sz w:val="32"/>
          <w:szCs w:val="32"/>
        </w:rPr>
        <w:t>万元。较2017年相比增加10</w:t>
      </w:r>
      <w:r>
        <w:rPr>
          <w:rFonts w:hint="eastAsia" w:ascii="仿宋" w:hAnsi="仿宋" w:eastAsia="仿宋"/>
          <w:color w:val="000000"/>
          <w:sz w:val="32"/>
          <w:szCs w:val="32"/>
          <w:lang w:val="en-US" w:eastAsia="zh-CN"/>
        </w:rPr>
        <w:t>7.75</w:t>
      </w:r>
      <w:r>
        <w:rPr>
          <w:rFonts w:hint="eastAsia" w:ascii="仿宋" w:hAnsi="仿宋" w:eastAsia="仿宋"/>
          <w:color w:val="000000"/>
          <w:sz w:val="32"/>
          <w:szCs w:val="32"/>
        </w:rPr>
        <w:t>万元，增长8.</w:t>
      </w:r>
      <w:r>
        <w:rPr>
          <w:rFonts w:hint="eastAsia" w:ascii="仿宋" w:hAnsi="仿宋" w:eastAsia="仿宋"/>
          <w:color w:val="000000"/>
          <w:sz w:val="32"/>
          <w:szCs w:val="32"/>
          <w:lang w:val="en-US" w:eastAsia="zh-CN"/>
        </w:rPr>
        <w:t>74</w:t>
      </w:r>
      <w:r>
        <w:rPr>
          <w:rFonts w:hint="eastAsia" w:ascii="仿宋" w:hAnsi="仿宋" w:eastAsia="仿宋"/>
          <w:color w:val="000000"/>
          <w:sz w:val="32"/>
          <w:szCs w:val="32"/>
        </w:rPr>
        <w:t>%。主要原因是财政拨入军队移交政府的离退休人员安置及建档立卡人员大病补充商业保险较上年增加82.87万元及因缴费基数调整公积金及保险费较上年增加约20.11万元。</w:t>
      </w:r>
      <w:bookmarkStart w:id="26" w:name="_Toc15396604"/>
      <w:bookmarkStart w:id="27" w:name="_Toc15377206"/>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图1：收入、支出决算图（单位：万元）</w:t>
      </w:r>
    </w:p>
    <w:p>
      <w:pPr>
        <w:pStyle w:val="18"/>
        <w:ind w:firstLine="640"/>
        <w:rPr>
          <w:rStyle w:val="27"/>
          <w:rFonts w:hint="eastAsia" w:ascii="黑体" w:hAnsi="黑体" w:eastAsia="黑体"/>
          <w:b w:val="0"/>
          <w:lang w:eastAsia="zh-CN"/>
        </w:rPr>
      </w:pPr>
      <w:r>
        <w:rPr>
          <w:rStyle w:val="27"/>
          <w:rFonts w:hint="eastAsia" w:ascii="黑体" w:hAnsi="黑体" w:eastAsia="黑体"/>
          <w:b w:val="0"/>
          <w:lang w:eastAsia="zh-CN"/>
        </w:rPr>
        <w:drawing>
          <wp:inline distT="0" distB="0" distL="114300" distR="114300">
            <wp:extent cx="3461385" cy="2372360"/>
            <wp:effectExtent l="4445" t="4445" r="20320" b="2349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Start w:id="76" w:name="_GoBack"/>
      <w:bookmarkEnd w:id="76"/>
    </w:p>
    <w:p>
      <w:pPr>
        <w:pStyle w:val="18"/>
        <w:numPr>
          <w:ilvl w:val="0"/>
          <w:numId w:val="1"/>
        </w:numPr>
        <w:spacing w:line="600" w:lineRule="exact"/>
        <w:ind w:firstLineChars="0"/>
        <w:outlineLvl w:val="1"/>
        <w:rPr>
          <w:rStyle w:val="27"/>
          <w:rFonts w:ascii="黑体" w:hAnsi="黑体" w:eastAsia="黑体"/>
          <w:b w:val="0"/>
        </w:rPr>
      </w:pPr>
      <w:r>
        <w:rPr>
          <w:rFonts w:hint="eastAsia" w:ascii="黑体" w:hAnsi="黑体" w:eastAsia="黑体"/>
          <w:color w:val="000000"/>
          <w:sz w:val="32"/>
          <w:szCs w:val="32"/>
        </w:rPr>
        <w:t>收</w:t>
      </w:r>
      <w:r>
        <w:rPr>
          <w:rStyle w:val="27"/>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8年本年收入合计1326.92万元，其中：一般公共预算财政拨款收入1326.9万元，占99.99</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；其他收入0.02万元，占0.01</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图2：收入决算结构图</w:t>
      </w:r>
      <w:bookmarkStart w:id="28" w:name="_Toc15377207"/>
      <w:bookmarkStart w:id="29" w:name="_Toc15396605"/>
      <w:r>
        <w:rPr>
          <w:rFonts w:hint="eastAsia" w:ascii="仿宋" w:hAnsi="仿宋" w:eastAsia="仿宋"/>
          <w:color w:val="000000"/>
          <w:sz w:val="32"/>
          <w:szCs w:val="32"/>
        </w:rPr>
        <w:t>（单位：万元）</w:t>
      </w:r>
    </w:p>
    <w:p>
      <w:pPr>
        <w:pStyle w:val="18"/>
        <w:spacing w:line="600" w:lineRule="exact"/>
        <w:ind w:left="640" w:firstLine="0" w:firstLineChars="0"/>
        <w:outlineLvl w:val="1"/>
        <w:rPr>
          <w:rFonts w:ascii="仿宋" w:hAnsi="仿宋" w:eastAsia="仿宋"/>
          <w:color w:val="000000"/>
          <w:sz w:val="32"/>
          <w:szCs w:val="32"/>
        </w:rPr>
      </w:pPr>
      <w:r>
        <w:rPr>
          <w:rFonts w:ascii="仿宋" w:hAnsi="仿宋" w:eastAsia="仿宋"/>
          <w:color w:val="000000"/>
          <w:sz w:val="32"/>
          <w:szCs w:val="32"/>
        </w:rPr>
        <w:pict>
          <v:shape id="图片 17" o:spid="_x0000_s1026" o:spt="75" type="#_x0000_t75" style="position:absolute;left:0pt;margin-left:-4.5pt;margin-top:9.75pt;height:165pt;width:314.25pt;z-index:251659264;mso-width-relative:page;mso-height-relative:page;" o:ole="t" filled="f" o:preferrelative="t" stroked="f" coordsize="21600,21600">
            <v:path/>
            <v:fill on="f" focussize="0,0"/>
            <v:stroke on="f" joinstyle="miter"/>
            <v:imagedata r:id="rId8" o:title=""/>
            <o:lock v:ext="edit" aspectratio="t"/>
          </v:shape>
          <o:OLEObject Type="Embed" ProgID="Excel.Chart.8" ShapeID="图片 17" DrawAspect="Content" ObjectID="_1468075725" r:id="rId7">
            <o:LockedField>false</o:LockedField>
          </o:OLEObject>
        </w:pict>
      </w:r>
    </w:p>
    <w:p>
      <w:pPr>
        <w:pStyle w:val="18"/>
        <w:spacing w:line="600" w:lineRule="exact"/>
        <w:ind w:left="640" w:firstLine="0" w:firstLineChars="0"/>
        <w:outlineLvl w:val="1"/>
        <w:rPr>
          <w:rFonts w:ascii="仿宋" w:hAnsi="仿宋" w:eastAsia="仿宋"/>
          <w:color w:val="000000"/>
          <w:sz w:val="32"/>
          <w:szCs w:val="32"/>
        </w:rPr>
      </w:pPr>
    </w:p>
    <w:p>
      <w:pPr>
        <w:pStyle w:val="18"/>
        <w:spacing w:line="600" w:lineRule="exact"/>
        <w:ind w:left="640" w:firstLine="0" w:firstLineChars="0"/>
        <w:outlineLvl w:val="1"/>
        <w:rPr>
          <w:rFonts w:ascii="仿宋" w:hAnsi="仿宋" w:eastAsia="仿宋"/>
          <w:color w:val="000000"/>
          <w:sz w:val="32"/>
          <w:szCs w:val="32"/>
        </w:rPr>
      </w:pPr>
    </w:p>
    <w:p>
      <w:pPr>
        <w:pStyle w:val="18"/>
        <w:spacing w:line="600" w:lineRule="exact"/>
        <w:ind w:left="640" w:firstLine="0" w:firstLineChars="0"/>
        <w:outlineLvl w:val="1"/>
        <w:rPr>
          <w:rFonts w:ascii="仿宋" w:hAnsi="仿宋" w:eastAsia="仿宋"/>
          <w:color w:val="000000"/>
          <w:sz w:val="32"/>
          <w:szCs w:val="32"/>
        </w:rPr>
      </w:pPr>
    </w:p>
    <w:p>
      <w:pPr>
        <w:pStyle w:val="18"/>
        <w:spacing w:line="600" w:lineRule="exact"/>
        <w:ind w:firstLine="0" w:firstLineChars="0"/>
        <w:outlineLvl w:val="1"/>
        <w:rPr>
          <w:rFonts w:ascii="仿宋" w:hAnsi="仿宋" w:eastAsia="仿宋"/>
          <w:color w:val="000000"/>
          <w:sz w:val="32"/>
          <w:szCs w:val="32"/>
        </w:rPr>
      </w:pPr>
    </w:p>
    <w:p>
      <w:pPr>
        <w:pStyle w:val="18"/>
        <w:spacing w:line="600" w:lineRule="exact"/>
        <w:ind w:firstLine="0" w:firstLineChars="0"/>
        <w:outlineLvl w:val="1"/>
        <w:rPr>
          <w:rStyle w:val="27"/>
          <w:rFonts w:ascii="黑体" w:hAnsi="黑体" w:eastAsia="黑体"/>
          <w:b w:val="0"/>
        </w:rPr>
      </w:pPr>
    </w:p>
    <w:p>
      <w:pPr>
        <w:pStyle w:val="18"/>
        <w:numPr>
          <w:ilvl w:val="0"/>
          <w:numId w:val="1"/>
        </w:numPr>
        <w:spacing w:line="600" w:lineRule="exact"/>
        <w:ind w:firstLineChars="0"/>
        <w:outlineLvl w:val="1"/>
        <w:rPr>
          <w:rStyle w:val="27"/>
          <w:rFonts w:ascii="黑体" w:hAnsi="黑体" w:eastAsia="黑体"/>
          <w:b w:val="0"/>
        </w:rPr>
      </w:pPr>
      <w:r>
        <w:rPr>
          <w:rFonts w:hint="eastAsia" w:ascii="黑体" w:hAnsi="黑体" w:eastAsia="黑体"/>
          <w:color w:val="000000"/>
          <w:sz w:val="32"/>
          <w:szCs w:val="32"/>
        </w:rPr>
        <w:t>支</w:t>
      </w:r>
      <w:r>
        <w:rPr>
          <w:rStyle w:val="27"/>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8年本年支出合计1335.68万元，其中：基本支出704.22万元，占52.72</w:t>
      </w:r>
      <w:r>
        <w:rPr>
          <w:rFonts w:ascii="仿宋" w:hAnsi="仿宋" w:eastAsia="仿宋"/>
          <w:color w:val="000000"/>
          <w:sz w:val="32"/>
          <w:szCs w:val="32"/>
        </w:rPr>
        <w:t>%</w:t>
      </w:r>
      <w:r>
        <w:rPr>
          <w:rFonts w:hint="eastAsia" w:ascii="仿宋" w:hAnsi="仿宋" w:eastAsia="仿宋"/>
          <w:color w:val="000000"/>
          <w:sz w:val="32"/>
          <w:szCs w:val="32"/>
        </w:rPr>
        <w:t>；项目支出631.46万元，占47.28</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ascii="黑体" w:hAnsi="黑体" w:eastAsia="黑体"/>
          <w:color w:val="000000"/>
          <w:sz w:val="32"/>
          <w:szCs w:val="32"/>
        </w:rPr>
      </w:pPr>
      <w:r>
        <w:rPr>
          <w:rFonts w:hint="eastAsia" w:ascii="仿宋" w:hAnsi="仿宋" w:eastAsia="仿宋"/>
          <w:color w:val="000000"/>
          <w:sz w:val="32"/>
          <w:szCs w:val="32"/>
        </w:rPr>
        <w:t>图3：支出决算结构图</w:t>
      </w:r>
      <w:bookmarkStart w:id="30" w:name="_Toc15377208"/>
      <w:bookmarkStart w:id="31" w:name="_Toc15396606"/>
    </w:p>
    <w:p>
      <w:pPr>
        <w:spacing w:line="600" w:lineRule="exact"/>
        <w:ind w:firstLine="640" w:firstLineChars="200"/>
        <w:outlineLvl w:val="1"/>
        <w:rPr>
          <w:rFonts w:ascii="黑体" w:hAnsi="黑体" w:eastAsia="黑体"/>
          <w:color w:val="000000"/>
          <w:sz w:val="32"/>
          <w:szCs w:val="32"/>
        </w:rPr>
      </w:pPr>
      <w:r>
        <w:rPr>
          <w:rFonts w:ascii="仿宋" w:hAnsi="仿宋" w:eastAsia="仿宋"/>
          <w:color w:val="000000"/>
          <w:sz w:val="32"/>
          <w:szCs w:val="32"/>
        </w:rPr>
        <w:drawing>
          <wp:anchor distT="0" distB="0" distL="114935" distR="114935" simplePos="0" relativeHeight="251665408" behindDoc="0" locked="0" layoutInCell="1" allowOverlap="1">
            <wp:simplePos x="0" y="0"/>
            <wp:positionH relativeFrom="column">
              <wp:posOffset>356870</wp:posOffset>
            </wp:positionH>
            <wp:positionV relativeFrom="paragraph">
              <wp:posOffset>182245</wp:posOffset>
            </wp:positionV>
            <wp:extent cx="3423285" cy="1696085"/>
            <wp:effectExtent l="4445" t="4445" r="20320" b="1397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27"/>
          <w:rFonts w:ascii="黑体" w:hAnsi="黑体" w:eastAsia="黑体"/>
          <w:b w:val="0"/>
        </w:rPr>
      </w:pPr>
      <w:r>
        <w:rPr>
          <w:rFonts w:hint="eastAsia" w:ascii="黑体" w:hAnsi="黑体" w:eastAsia="黑体"/>
          <w:color w:val="000000"/>
          <w:sz w:val="32"/>
          <w:szCs w:val="32"/>
        </w:rPr>
        <w:t>四、财政拨款收入支出决算总体情况说明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入总计1326.9万元。较2017年相比，增加104.98万元，增长8.59 %；主要变动原因是财政拨入军队移交政府的离退休人员安置及建档立卡人员大病补充商业保险较上年增加82.87万元及因缴费基数调整公积金及保险费较上年增加约20.11万元。</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2018年财政拨款支出总计1335.66万元。较</w:t>
      </w:r>
      <w:r>
        <w:rPr>
          <w:rFonts w:ascii="仿宋" w:hAnsi="仿宋" w:eastAsia="仿宋"/>
          <w:color w:val="000000"/>
          <w:sz w:val="32"/>
          <w:szCs w:val="32"/>
        </w:rPr>
        <w:t>201</w:t>
      </w:r>
      <w:r>
        <w:rPr>
          <w:rFonts w:hint="eastAsia" w:ascii="仿宋" w:hAnsi="仿宋" w:eastAsia="仿宋"/>
          <w:color w:val="000000"/>
          <w:sz w:val="32"/>
          <w:szCs w:val="32"/>
        </w:rPr>
        <w:t>7年相比，增加113.74万元，增长9.44</w:t>
      </w:r>
      <w:r>
        <w:rPr>
          <w:rFonts w:ascii="仿宋" w:hAnsi="仿宋" w:eastAsia="仿宋"/>
          <w:color w:val="000000"/>
          <w:sz w:val="32"/>
          <w:szCs w:val="32"/>
        </w:rPr>
        <w:t>%</w:t>
      </w:r>
      <w:r>
        <w:rPr>
          <w:rFonts w:hint="eastAsia" w:ascii="仿宋" w:hAnsi="仿宋" w:eastAsia="仿宋"/>
          <w:color w:val="000000"/>
          <w:sz w:val="32"/>
          <w:szCs w:val="32"/>
        </w:rPr>
        <w:t>。主要变动原因是支付军队移交政府的离退休人员安置及建档立卡人员大病补充商业保险较及因缴费基数调整公积金及保险费缴纳支出的增加。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图4：财政拨款收、支决算总计变动情况（单位：万元）</w:t>
      </w:r>
    </w:p>
    <w:p>
      <w:pPr>
        <w:spacing w:line="600" w:lineRule="exact"/>
        <w:rPr>
          <w:rFonts w:ascii="黑体" w:hAnsi="黑体" w:eastAsia="黑体"/>
          <w:color w:val="000000"/>
          <w:sz w:val="32"/>
          <w:szCs w:val="32"/>
        </w:rPr>
      </w:pPr>
      <w:r>
        <w:rPr>
          <w:rFonts w:ascii="仿宋" w:hAnsi="仿宋" w:eastAsia="仿宋"/>
          <w:color w:val="000000"/>
          <w:sz w:val="32"/>
          <w:szCs w:val="32"/>
        </w:rPr>
        <w:pict>
          <v:shape id="_x0000_s1028" o:spid="_x0000_s1028" o:spt="75" type="#_x0000_t75" style="position:absolute;left:0pt;margin-left:41pt;margin-top:29.25pt;height:165pt;width:314.25pt;mso-wrap-distance-bottom:0pt;mso-wrap-distance-top:0pt;z-index:251661312;mso-width-relative:page;mso-height-relative:page;" o:ole="t" filled="f" o:preferrelative="t" stroked="f" coordsize="21600,21600">
            <v:path/>
            <v:fill on="f" focussize="0,0"/>
            <v:stroke on="f" joinstyle="miter"/>
            <v:imagedata r:id="rId11" o:title=""/>
            <o:lock v:ext="edit" aspectratio="t"/>
            <w10:wrap type="topAndBottom"/>
          </v:shape>
          <o:OLEObject Type="Embed" ProgID="Excel.Chart.8" ShapeID="_x0000_s1028" DrawAspect="Content" ObjectID="_1468075726" r:id="rId10">
            <o:LockedField>false</o:LockedField>
          </o:OLEObject>
        </w:pict>
      </w:r>
      <w:r>
        <w:rPr>
          <w:rFonts w:ascii="仿宋" w:hAnsi="仿宋" w:eastAsia="仿宋"/>
          <w:color w:val="000000"/>
          <w:sz w:val="32"/>
          <w:szCs w:val="32"/>
        </w:rPr>
        <w:pict>
          <v:shape id="图片 22" o:spid="_x0000_s1029" o:spt="75" type="#_x0000_t75" style="position:absolute;left:0pt;margin-left:41pt;margin-top:29.25pt;height:165pt;width:314.25pt;mso-wrap-distance-bottom:0pt;mso-wrap-distance-top:0pt;z-index:251660288;mso-width-relative:page;mso-height-relative:page;" filled="f" o:preferrelative="t" stroked="f" coordsize="21600,21600">
            <v:path/>
            <v:fill on="f" focussize="0,0"/>
            <v:stroke on="f" joinstyle="miter"/>
            <v:imagedata r:id="rId12" o:title=""/>
            <o:lock v:ext="edit" aspectratio="t"/>
            <w10:wrap type="topAndBottom"/>
          </v:shape>
        </w:pict>
      </w:r>
      <w:bookmarkStart w:id="32" w:name="_Toc15396607"/>
      <w:bookmarkStart w:id="33" w:name="_Toc15377209"/>
    </w:p>
    <w:p>
      <w:pPr>
        <w:spacing w:line="600" w:lineRule="exact"/>
        <w:ind w:firstLine="640" w:firstLineChars="200"/>
        <w:outlineLvl w:val="1"/>
        <w:rPr>
          <w:rStyle w:val="27"/>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8年一般公共预算财政拨款支出1335.66万元，占本年支出合计的99.99</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7年相比增长9.44</w:t>
      </w:r>
      <w:r>
        <w:rPr>
          <w:rFonts w:ascii="仿宋" w:hAnsi="仿宋" w:eastAsia="仿宋"/>
          <w:color w:val="000000"/>
          <w:sz w:val="32"/>
          <w:szCs w:val="32"/>
        </w:rPr>
        <w:t>%</w:t>
      </w:r>
      <w:r>
        <w:rPr>
          <w:rFonts w:hint="eastAsia" w:ascii="仿宋" w:hAnsi="仿宋" w:eastAsia="仿宋"/>
          <w:color w:val="000000"/>
          <w:sz w:val="32"/>
          <w:szCs w:val="32"/>
        </w:rPr>
        <w:t>，主要变动原因是支付军队移交政府的离退休人员安置及建档立卡人员大病补充商业保险较及因缴费基数调整公积金及保险费缴纳支出的增加。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图5：一般公共预算财政拨款支出决算变动情况（单位：万元）</w:t>
      </w:r>
    </w:p>
    <w:p>
      <w:pPr>
        <w:spacing w:line="600" w:lineRule="exact"/>
        <w:ind w:firstLine="640" w:firstLineChars="200"/>
        <w:outlineLvl w:val="2"/>
        <w:rPr>
          <w:rFonts w:ascii="仿宋" w:hAnsi="仿宋" w:eastAsia="仿宋"/>
          <w:b/>
          <w:color w:val="000000"/>
          <w:sz w:val="32"/>
          <w:szCs w:val="32"/>
        </w:rPr>
      </w:pPr>
      <w:bookmarkStart w:id="35" w:name="_Toc15377211"/>
      <w:r>
        <w:rPr>
          <w:rFonts w:ascii="仿宋" w:hAnsi="仿宋" w:eastAsia="仿宋"/>
          <w:color w:val="000000"/>
          <w:sz w:val="32"/>
          <w:szCs w:val="32"/>
        </w:rPr>
        <w:pict>
          <v:shape id="图片 27" o:spid="_x0000_s1030" o:spt="75" type="#_x0000_t75" style="position:absolute;left:0pt;margin-left:37.3pt;margin-top:10.75pt;height:165pt;width:314.25pt;mso-wrap-distance-bottom:0pt;mso-wrap-distance-top:0pt;z-index:251662336;mso-width-relative:page;mso-height-relative:page;" o:ole="t" filled="f" o:preferrelative="t" stroked="f" coordsize="21600,21600">
            <v:path/>
            <v:fill on="f" focussize="0,0"/>
            <v:stroke on="f" joinstyle="miter"/>
            <v:imagedata r:id="rId14" o:title=""/>
            <o:lock v:ext="edit" aspectratio="t"/>
            <w10:wrap type="topAndBottom"/>
          </v:shape>
          <o:OLEObject Type="Embed" ProgID="Excel.Chart.8" ShapeID="图片 27" DrawAspect="Content" ObjectID="_1468075727" r:id="rId13">
            <o:LockedField>false</o:LockedField>
          </o:OLEObject>
        </w:pict>
      </w:r>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8年一般公共预算财政拨款支出1335.66万元，主要用于以下方面</w:t>
      </w:r>
      <w:r>
        <w:rPr>
          <w:rFonts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支出651.2万元，占48.75</w:t>
      </w:r>
      <w:r>
        <w:rPr>
          <w:rFonts w:ascii="仿宋" w:hAnsi="仿宋" w:eastAsia="仿宋"/>
          <w:color w:val="000000"/>
          <w:sz w:val="32"/>
          <w:szCs w:val="32"/>
        </w:rPr>
        <w:t>%</w:t>
      </w:r>
      <w:r>
        <w:rPr>
          <w:rFonts w:hint="eastAsia" w:ascii="仿宋" w:hAnsi="仿宋" w:eastAsia="仿宋"/>
          <w:color w:val="000000"/>
          <w:sz w:val="32"/>
          <w:szCs w:val="32"/>
        </w:rPr>
        <w:t>；医疗卫生支出21.7万元，占1.62</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农林水（类）支出</w:t>
      </w:r>
      <w:r>
        <w:rPr>
          <w:rFonts w:hint="eastAsia" w:ascii="仿宋" w:hAnsi="仿宋" w:eastAsia="仿宋"/>
          <w:color w:val="000000"/>
          <w:sz w:val="32"/>
          <w:szCs w:val="32"/>
        </w:rPr>
        <w:t>631.46万元，占47.27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住房保障支出</w:t>
      </w:r>
      <w:r>
        <w:rPr>
          <w:rFonts w:hint="eastAsia" w:ascii="仿宋" w:hAnsi="仿宋" w:eastAsia="仿宋"/>
          <w:color w:val="000000"/>
          <w:sz w:val="32"/>
          <w:szCs w:val="32"/>
        </w:rPr>
        <w:t>31.48万元，占2.36</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drawing>
          <wp:anchor distT="0" distB="0" distL="114935" distR="114935" simplePos="0" relativeHeight="251663360" behindDoc="0" locked="0" layoutInCell="1" allowOverlap="1">
            <wp:simplePos x="0" y="0"/>
            <wp:positionH relativeFrom="column">
              <wp:posOffset>582295</wp:posOffset>
            </wp:positionH>
            <wp:positionV relativeFrom="paragraph">
              <wp:posOffset>433705</wp:posOffset>
            </wp:positionV>
            <wp:extent cx="3917950" cy="1781175"/>
            <wp:effectExtent l="4445" t="5080" r="20955" b="444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rFonts w:hint="eastAsia" w:ascii="仿宋" w:hAnsi="仿宋" w:eastAsia="仿宋"/>
          <w:color w:val="000000"/>
          <w:sz w:val="32"/>
          <w:szCs w:val="32"/>
        </w:rPr>
        <w:t>图6：一般公共预算财政拨款支出决算结构</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8460"/>
      <w:bookmarkStart w:id="38" w:name="_Toc15377444"/>
      <w:bookmarkStart w:id="39" w:name="_Toc15377213"/>
      <w:r>
        <w:rPr>
          <w:rFonts w:hint="eastAsia" w:ascii="仿宋" w:hAnsi="仿宋" w:eastAsia="仿宋"/>
          <w:b/>
          <w:color w:val="000000"/>
          <w:sz w:val="32"/>
          <w:szCs w:val="32"/>
        </w:rPr>
        <w:t>2018年一般公共预算支出决算数为1335.66万元</w:t>
      </w:r>
      <w:r>
        <w:rPr>
          <w:rFonts w:hint="eastAsia" w:ascii="仿宋" w:hAnsi="仿宋" w:eastAsia="仿宋"/>
          <w:color w:val="000000"/>
          <w:sz w:val="32"/>
          <w:szCs w:val="32"/>
        </w:rPr>
        <w:t>，</w:t>
      </w:r>
      <w:r>
        <w:rPr>
          <w:rStyle w:val="15"/>
          <w:rFonts w:hint="eastAsia" w:ascii="仿宋" w:hAnsi="仿宋" w:eastAsia="仿宋"/>
          <w:bCs/>
          <w:color w:val="000000"/>
          <w:sz w:val="32"/>
          <w:szCs w:val="32"/>
        </w:rPr>
        <w:t>完成预算99.64</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3" w:firstLineChars="200"/>
        <w:rPr>
          <w:rStyle w:val="15"/>
          <w:rFonts w:ascii="仿宋" w:hAnsi="仿宋" w:eastAsia="仿宋"/>
          <w:b w:val="0"/>
          <w:color w:val="000000"/>
          <w:sz w:val="32"/>
          <w:szCs w:val="32"/>
        </w:rPr>
      </w:pPr>
      <w:r>
        <w:rPr>
          <w:rStyle w:val="15"/>
          <w:rFonts w:hint="eastAsia" w:ascii="仿宋" w:hAnsi="仿宋" w:eastAsia="仿宋"/>
          <w:bCs/>
          <w:color w:val="000000"/>
          <w:sz w:val="32"/>
          <w:szCs w:val="32"/>
        </w:rPr>
        <w:t>1.社会保障和就业/人力资源和社会保障管理事务/社会保险经办机构</w:t>
      </w:r>
      <w:r>
        <w:rPr>
          <w:rStyle w:val="15"/>
          <w:rFonts w:ascii="仿宋" w:hAnsi="仿宋" w:eastAsia="仿宋"/>
          <w:bCs/>
          <w:color w:val="000000"/>
          <w:sz w:val="32"/>
          <w:szCs w:val="32"/>
        </w:rPr>
        <w:t xml:space="preserve">: </w:t>
      </w:r>
      <w:r>
        <w:rPr>
          <w:rStyle w:val="15"/>
          <w:rFonts w:hint="eastAsia" w:ascii="仿宋" w:hAnsi="仿宋" w:eastAsia="仿宋"/>
          <w:b w:val="0"/>
          <w:color w:val="000000"/>
          <w:sz w:val="32"/>
          <w:szCs w:val="32"/>
        </w:rPr>
        <w:t>支出决算为401.57万元，完成预算98.8</w:t>
      </w:r>
      <w:r>
        <w:rPr>
          <w:rStyle w:val="15"/>
          <w:rFonts w:ascii="仿宋" w:hAnsi="仿宋" w:eastAsia="仿宋"/>
          <w:b w:val="0"/>
          <w:color w:val="000000"/>
          <w:sz w:val="32"/>
          <w:szCs w:val="32"/>
        </w:rPr>
        <w:t>%</w:t>
      </w:r>
      <w:r>
        <w:rPr>
          <w:rStyle w:val="15"/>
          <w:rFonts w:hint="eastAsia" w:ascii="仿宋" w:hAnsi="仿宋" w:eastAsia="仿宋"/>
          <w:b w:val="0"/>
          <w:color w:val="000000"/>
          <w:sz w:val="32"/>
          <w:szCs w:val="32"/>
        </w:rPr>
        <w:t>，决算数小于预算数的主要原因是2018年调资补发（4.87万元）2018年度列收未支，于2019年支出。</w:t>
      </w:r>
    </w:p>
    <w:p>
      <w:pPr>
        <w:spacing w:line="600" w:lineRule="exact"/>
        <w:ind w:firstLine="643" w:firstLineChars="200"/>
        <w:rPr>
          <w:rStyle w:val="15"/>
          <w:rFonts w:ascii="仿宋" w:hAnsi="仿宋" w:eastAsia="仿宋"/>
          <w:b w:val="0"/>
          <w:color w:val="000000"/>
          <w:sz w:val="32"/>
          <w:szCs w:val="32"/>
        </w:rPr>
      </w:pPr>
      <w:r>
        <w:rPr>
          <w:rStyle w:val="15"/>
          <w:rFonts w:hint="eastAsia" w:ascii="仿宋" w:hAnsi="仿宋" w:eastAsia="仿宋"/>
          <w:bCs/>
          <w:color w:val="000000"/>
          <w:sz w:val="32"/>
          <w:szCs w:val="32"/>
        </w:rPr>
        <w:t>2.社会保障和就业/行政事业单位离退休/机关事业单位基本养老保险缴费支出:</w:t>
      </w:r>
      <w:r>
        <w:rPr>
          <w:rStyle w:val="15"/>
          <w:rFonts w:hint="eastAsia" w:ascii="仿宋" w:hAnsi="仿宋" w:eastAsia="仿宋"/>
          <w:b w:val="0"/>
          <w:color w:val="000000"/>
          <w:sz w:val="32"/>
          <w:szCs w:val="32"/>
        </w:rPr>
        <w:t xml:space="preserve"> 支出决算为39.66万元，完成预算100%。</w:t>
      </w:r>
    </w:p>
    <w:p>
      <w:pPr>
        <w:spacing w:line="600" w:lineRule="exact"/>
        <w:ind w:firstLine="643" w:firstLineChars="200"/>
        <w:rPr>
          <w:rStyle w:val="15"/>
          <w:rFonts w:ascii="仿宋" w:hAnsi="仿宋" w:eastAsia="仿宋"/>
          <w:b w:val="0"/>
          <w:color w:val="000000"/>
          <w:sz w:val="32"/>
          <w:szCs w:val="32"/>
        </w:rPr>
      </w:pPr>
      <w:r>
        <w:rPr>
          <w:rStyle w:val="15"/>
          <w:rFonts w:hint="eastAsia" w:ascii="仿宋" w:hAnsi="仿宋" w:eastAsia="仿宋"/>
          <w:bCs/>
          <w:color w:val="000000"/>
          <w:sz w:val="32"/>
          <w:szCs w:val="32"/>
        </w:rPr>
        <w:t xml:space="preserve">3.社会保障和就业/行政事业单位离退休/机关事业单位职业年金缴费支出: </w:t>
      </w:r>
      <w:r>
        <w:rPr>
          <w:rStyle w:val="15"/>
          <w:rFonts w:hint="eastAsia" w:ascii="仿宋" w:hAnsi="仿宋" w:eastAsia="仿宋"/>
          <w:b w:val="0"/>
          <w:color w:val="000000"/>
          <w:sz w:val="32"/>
          <w:szCs w:val="32"/>
        </w:rPr>
        <w:t>支出决算为15.86万元，完成预算100%。</w:t>
      </w:r>
    </w:p>
    <w:p>
      <w:pPr>
        <w:spacing w:line="600" w:lineRule="exact"/>
        <w:ind w:firstLine="643" w:firstLineChars="200"/>
        <w:rPr>
          <w:rStyle w:val="15"/>
          <w:rFonts w:ascii="仿宋" w:hAnsi="仿宋" w:eastAsia="仿宋"/>
          <w:b w:val="0"/>
          <w:color w:val="000000"/>
          <w:sz w:val="32"/>
          <w:szCs w:val="32"/>
        </w:rPr>
      </w:pPr>
      <w:r>
        <w:rPr>
          <w:rStyle w:val="15"/>
          <w:rFonts w:hint="eastAsia" w:ascii="仿宋" w:hAnsi="仿宋" w:eastAsia="仿宋"/>
          <w:bCs/>
          <w:color w:val="000000"/>
          <w:sz w:val="32"/>
          <w:szCs w:val="32"/>
        </w:rPr>
        <w:t xml:space="preserve">4.社会保障和就业/退役安置/军队移交政府的离退休人员安置: </w:t>
      </w:r>
      <w:r>
        <w:rPr>
          <w:rStyle w:val="15"/>
          <w:rFonts w:hint="eastAsia" w:ascii="仿宋" w:hAnsi="仿宋" w:eastAsia="仿宋"/>
          <w:b w:val="0"/>
          <w:color w:val="000000"/>
          <w:sz w:val="32"/>
          <w:szCs w:val="32"/>
        </w:rPr>
        <w:t>支出决算为193.94万元，完成预算100%。</w:t>
      </w:r>
    </w:p>
    <w:p>
      <w:pPr>
        <w:spacing w:line="600" w:lineRule="exact"/>
        <w:ind w:firstLine="643" w:firstLineChars="200"/>
        <w:rPr>
          <w:rStyle w:val="15"/>
          <w:rFonts w:ascii="仿宋" w:hAnsi="仿宋" w:eastAsia="仿宋"/>
          <w:b w:val="0"/>
          <w:color w:val="000000"/>
          <w:sz w:val="32"/>
          <w:szCs w:val="32"/>
        </w:rPr>
      </w:pPr>
      <w:r>
        <w:rPr>
          <w:rStyle w:val="15"/>
          <w:rFonts w:hint="eastAsia" w:ascii="仿宋" w:hAnsi="仿宋" w:eastAsia="仿宋"/>
          <w:bCs/>
          <w:color w:val="000000"/>
          <w:sz w:val="32"/>
          <w:szCs w:val="32"/>
        </w:rPr>
        <w:t>5.医疗卫生与计划生育/行政事业单位医疗/事业单位医疗:</w:t>
      </w:r>
      <w:r>
        <w:rPr>
          <w:rStyle w:val="15"/>
          <w:rFonts w:hint="eastAsia" w:ascii="仿宋" w:hAnsi="仿宋" w:eastAsia="仿宋"/>
          <w:b w:val="0"/>
          <w:color w:val="000000"/>
          <w:sz w:val="32"/>
          <w:szCs w:val="32"/>
        </w:rPr>
        <w:t>支出决算为18.15万元，完成预算100%。</w:t>
      </w:r>
    </w:p>
    <w:p>
      <w:pPr>
        <w:spacing w:line="600" w:lineRule="exact"/>
        <w:ind w:firstLine="643" w:firstLineChars="200"/>
        <w:rPr>
          <w:rStyle w:val="15"/>
          <w:rFonts w:ascii="仿宋" w:hAnsi="仿宋" w:eastAsia="仿宋"/>
          <w:b w:val="0"/>
          <w:color w:val="000000"/>
          <w:sz w:val="32"/>
          <w:szCs w:val="32"/>
        </w:rPr>
      </w:pPr>
      <w:r>
        <w:rPr>
          <w:rStyle w:val="15"/>
          <w:rFonts w:hint="eastAsia" w:ascii="仿宋" w:hAnsi="仿宋" w:eastAsia="仿宋"/>
          <w:bCs/>
          <w:color w:val="000000"/>
          <w:sz w:val="32"/>
          <w:szCs w:val="32"/>
        </w:rPr>
        <w:t>6.医疗卫生与计划生育/行政事业单位医疗/其他行政事业单位医疗支出:</w:t>
      </w:r>
      <w:r>
        <w:rPr>
          <w:rStyle w:val="15"/>
          <w:rFonts w:hint="eastAsia" w:ascii="仿宋" w:hAnsi="仿宋" w:eastAsia="仿宋"/>
          <w:b w:val="0"/>
          <w:color w:val="000000"/>
          <w:sz w:val="32"/>
          <w:szCs w:val="32"/>
        </w:rPr>
        <w:t>支出决算为3.55万元，完成预算100%。</w:t>
      </w:r>
    </w:p>
    <w:p>
      <w:pPr>
        <w:spacing w:line="600" w:lineRule="exact"/>
        <w:ind w:firstLine="643" w:firstLineChars="200"/>
        <w:rPr>
          <w:rStyle w:val="15"/>
          <w:rFonts w:ascii="仿宋" w:hAnsi="仿宋" w:eastAsia="仿宋"/>
          <w:b w:val="0"/>
          <w:color w:val="000000"/>
          <w:sz w:val="32"/>
          <w:szCs w:val="32"/>
        </w:rPr>
      </w:pPr>
      <w:r>
        <w:rPr>
          <w:rStyle w:val="15"/>
          <w:rFonts w:hint="eastAsia" w:ascii="仿宋" w:hAnsi="仿宋" w:eastAsia="仿宋"/>
          <w:bCs/>
          <w:color w:val="000000"/>
          <w:sz w:val="32"/>
          <w:szCs w:val="32"/>
        </w:rPr>
        <w:t>7.农林水支出/扶贫/其他扶贫支出:</w:t>
      </w:r>
      <w:r>
        <w:rPr>
          <w:rStyle w:val="15"/>
          <w:rFonts w:hint="eastAsia" w:ascii="仿宋" w:hAnsi="仿宋" w:eastAsia="仿宋"/>
          <w:b w:val="0"/>
          <w:color w:val="000000"/>
          <w:sz w:val="32"/>
          <w:szCs w:val="32"/>
        </w:rPr>
        <w:t>支出决算为631.46万元，完成预算100%。</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rPr>
        <w:t>8.住房保障支出/住房改革支出/住房公积金:</w:t>
      </w:r>
      <w:r>
        <w:rPr>
          <w:rStyle w:val="15"/>
          <w:rFonts w:hint="eastAsia" w:ascii="仿宋" w:hAnsi="仿宋" w:eastAsia="仿宋"/>
          <w:b w:val="0"/>
          <w:color w:val="000000"/>
          <w:sz w:val="32"/>
          <w:szCs w:val="32"/>
        </w:rPr>
        <w:t>支出决算为31.48万元，完成预算100%。</w:t>
      </w:r>
    </w:p>
    <w:p>
      <w:pPr>
        <w:tabs>
          <w:tab w:val="right" w:pos="8306"/>
        </w:tabs>
        <w:spacing w:line="600" w:lineRule="exact"/>
        <w:ind w:firstLine="640"/>
        <w:outlineLvl w:val="1"/>
        <w:rPr>
          <w:rStyle w:val="27"/>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40"/>
      <w:bookmarkEnd w:id="41"/>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8年一般公共预算财政拨款基本支出1335.66万元，其中：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602.34万元，主要包括：基本工资77.01万元、津贴补贴125.43万元、奖金13.14万元、伙食补助费5.82万元、机关事业单位基本养老保险缴费39.66万元、职业年金缴费15.86万元、职工基本医疗保险缴费18.15万元、其他社会保障缴费1.21万元、住房公积金31.48万元、医疗费3.55万元、生活补助0.75万元、医疗费补助196.16万元、奖励金74.12万元。</w:t>
      </w:r>
      <w:r>
        <w:rPr>
          <w:rFonts w:ascii="仿宋" w:hAnsi="仿宋" w:eastAsia="仿宋"/>
          <w:color w:val="000000"/>
          <w:sz w:val="32"/>
          <w:szCs w:val="32"/>
        </w:rPr>
        <w:br w:type="textWrapping"/>
      </w:r>
      <w:r>
        <w:rPr>
          <w:rFonts w:hint="eastAsia" w:ascii="仿宋" w:hAnsi="仿宋" w:eastAsia="仿宋"/>
          <w:color w:val="000000"/>
          <w:sz w:val="32"/>
          <w:szCs w:val="32"/>
        </w:rPr>
        <w:t>　　公用经费101.88万元，主要包括：办公费12.79万元、手续费0.83万元、水费1.81万元、电费0.06万元、邮电费6.01万元、物业管理费0.58万元、差旅费37.67万元、会议费2.03万元、培训费1.34万元、公务接待费0.5万元、劳务费15.33万元、公务用车运行维护费4.63万元、办公设备购置0.5万元、专用设备购置17.8万元。</w:t>
      </w:r>
    </w:p>
    <w:p>
      <w:pPr>
        <w:spacing w:line="600" w:lineRule="exact"/>
        <w:ind w:firstLine="640"/>
        <w:outlineLvl w:val="1"/>
        <w:rPr>
          <w:rStyle w:val="27"/>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8年“三公”经费财政拨款支出决算为5.13万元，完成预算100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；公务用车购置及运行维护费支出决算4.63万元，占90.25</w:t>
      </w:r>
      <w:r>
        <w:rPr>
          <w:rFonts w:ascii="仿宋" w:hAnsi="仿宋" w:eastAsia="仿宋"/>
          <w:color w:val="000000"/>
          <w:sz w:val="32"/>
          <w:szCs w:val="32"/>
        </w:rPr>
        <w:t>%</w:t>
      </w:r>
      <w:r>
        <w:rPr>
          <w:rFonts w:hint="eastAsia" w:ascii="仿宋" w:hAnsi="仿宋" w:eastAsia="仿宋"/>
          <w:color w:val="000000"/>
          <w:sz w:val="32"/>
          <w:szCs w:val="32"/>
        </w:rPr>
        <w:t>；公务接待费支出决算0.5万元，占9.75</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w:t>
      </w:r>
    </w:p>
    <w:p>
      <w:pPr>
        <w:spacing w:line="600" w:lineRule="exact"/>
        <w:rPr>
          <w:rFonts w:ascii="仿宋" w:hAnsi="仿宋" w:eastAsia="仿宋"/>
          <w:color w:val="000000"/>
          <w:sz w:val="32"/>
          <w:szCs w:val="32"/>
        </w:rPr>
      </w:pPr>
      <w:r>
        <w:rPr>
          <w:rFonts w:hint="eastAsia" w:ascii="仿宋" w:hAnsi="仿宋" w:eastAsia="仿宋"/>
          <w:color w:val="000000"/>
          <w:sz w:val="32"/>
          <w:szCs w:val="32"/>
        </w:rPr>
        <w:drawing>
          <wp:anchor distT="0" distB="0" distL="114935" distR="114935" simplePos="0" relativeHeight="251664384" behindDoc="0" locked="0" layoutInCell="1" allowOverlap="1">
            <wp:simplePos x="0" y="0"/>
            <wp:positionH relativeFrom="column">
              <wp:posOffset>90170</wp:posOffset>
            </wp:positionH>
            <wp:positionV relativeFrom="paragraph">
              <wp:posOffset>118110</wp:posOffset>
            </wp:positionV>
            <wp:extent cx="4251960" cy="1610360"/>
            <wp:effectExtent l="4445" t="4445" r="10795" b="2349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5"/>
          <w:rFonts w:hint="eastAsia" w:ascii="仿宋" w:hAnsi="仿宋" w:eastAsia="仿宋"/>
          <w:b w:val="0"/>
          <w:bCs/>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4.63万元,</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7年(5.39万元）减少0.76万元，增长</w:t>
      </w:r>
      <w:r>
        <w:rPr>
          <w:rFonts w:ascii="仿宋_GB2312" w:eastAsia="仿宋_GB2312"/>
          <w:color w:val="000000"/>
          <w:sz w:val="32"/>
          <w:szCs w:val="32"/>
        </w:rPr>
        <w:t>/</w:t>
      </w:r>
      <w:r>
        <w:rPr>
          <w:rFonts w:hint="eastAsia" w:ascii="仿宋_GB2312" w:eastAsia="仿宋_GB2312"/>
          <w:color w:val="000000"/>
          <w:sz w:val="32"/>
          <w:szCs w:val="32"/>
        </w:rPr>
        <w:t>下降14.1</w:t>
      </w:r>
      <w:r>
        <w:rPr>
          <w:rFonts w:ascii="仿宋_GB2312" w:eastAsia="仿宋_GB2312"/>
          <w:color w:val="000000"/>
          <w:sz w:val="32"/>
          <w:szCs w:val="32"/>
        </w:rPr>
        <w:t>%</w:t>
      </w:r>
      <w:r>
        <w:rPr>
          <w:rFonts w:hint="eastAsia" w:ascii="仿宋_GB2312" w:eastAsia="仿宋_GB2312"/>
          <w:color w:val="000000"/>
          <w:sz w:val="32"/>
          <w:szCs w:val="32"/>
        </w:rPr>
        <w:t>。主要原因是厉行节约，减少开支。</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4.63万元。主要用于医疗保险经办事务所需的公务用车燃料费、维修费、过路过桥费、保险费等支出。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0.5万元，</w:t>
      </w:r>
      <w:r>
        <w:rPr>
          <w:rStyle w:val="15"/>
          <w:rFonts w:hint="eastAsia" w:ascii="仿宋" w:hAnsi="仿宋" w:eastAsia="仿宋"/>
          <w:b w:val="0"/>
          <w:bCs/>
          <w:color w:val="000000"/>
          <w:sz w:val="32"/>
          <w:szCs w:val="32"/>
        </w:rPr>
        <w:t>完成预算100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7年增加0.45万元。</w:t>
      </w:r>
    </w:p>
    <w:p>
      <w:pPr>
        <w:spacing w:line="600" w:lineRule="exact"/>
        <w:ind w:firstLine="640" w:firstLineChars="200"/>
        <w:rPr>
          <w:rFonts w:ascii="黑体" w:eastAsia="黑体"/>
          <w:color w:val="000000"/>
          <w:sz w:val="32"/>
          <w:szCs w:val="32"/>
        </w:rPr>
      </w:pPr>
      <w:r>
        <w:rPr>
          <w:rFonts w:hint="eastAsia" w:ascii="仿宋_GB2312" w:eastAsia="仿宋_GB2312"/>
          <w:color w:val="000000"/>
          <w:sz w:val="32"/>
          <w:szCs w:val="32"/>
        </w:rPr>
        <w:t>主要用于执行公务、开展业务活动开支用餐费等。国内公务接待4批次，共计支出0.50万元，具体内容包括：接待市州经办机构分险检查评估、接待省厅城乡居民医疗保险工作调研、各县建档立卡人员参保数据核实及省局高原病补充医疗保险调研接待。</w:t>
      </w:r>
      <w:bookmarkStart w:id="46" w:name="_Toc15396610"/>
      <w:bookmarkStart w:id="47" w:name="_Toc15377218"/>
    </w:p>
    <w:p>
      <w:pPr>
        <w:spacing w:line="600" w:lineRule="exact"/>
        <w:ind w:firstLine="640"/>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8年政府性基金预算拨款支出0万元。</w:t>
      </w:r>
    </w:p>
    <w:p>
      <w:pPr>
        <w:numPr>
          <w:ilvl w:val="0"/>
          <w:numId w:val="2"/>
        </w:numPr>
        <w:spacing w:line="600" w:lineRule="exact"/>
        <w:ind w:firstLine="640"/>
        <w:outlineLvl w:val="1"/>
        <w:rPr>
          <w:rStyle w:val="27"/>
          <w:rFonts w:ascii="黑体" w:hAnsi="黑体" w:eastAsia="黑体"/>
          <w:b w:val="0"/>
        </w:rPr>
      </w:pPr>
      <w:bookmarkStart w:id="48" w:name="_Toc15396611"/>
      <w:bookmarkStart w:id="49" w:name="_Toc15377219"/>
      <w:r>
        <w:rPr>
          <w:rStyle w:val="27"/>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18"/>
        <w:numPr>
          <w:ilvl w:val="0"/>
          <w:numId w:val="3"/>
        </w:numPr>
        <w:spacing w:line="580" w:lineRule="exact"/>
        <w:ind w:firstLineChars="0"/>
        <w:rPr>
          <w:rStyle w:val="27"/>
          <w:rFonts w:ascii="黑体" w:hAnsi="黑体" w:eastAsia="黑体"/>
          <w:b w:val="0"/>
        </w:rPr>
      </w:pPr>
      <w:r>
        <w:rPr>
          <w:rStyle w:val="27"/>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根据预算绩效管理要求，本单位在年初预算编制阶段，组织对</w:t>
      </w:r>
      <w:r>
        <w:rPr>
          <w:rFonts w:hint="eastAsia" w:ascii="仿宋_GB2312" w:eastAsia="仿宋_GB2312"/>
          <w:sz w:val="32"/>
          <w:szCs w:val="32"/>
        </w:rPr>
        <w:t>“201809-2018年州级财政专项扶贫资金（建档立卡大病补充商业保险）”项目开展了预算事前绩效评</w:t>
      </w:r>
      <w:r>
        <w:rPr>
          <w:rFonts w:hint="eastAsia" w:ascii="仿宋_GB2312" w:hAnsi="仿宋_GB2312" w:eastAsia="仿宋_GB2312" w:cs="仿宋_GB2312"/>
          <w:sz w:val="32"/>
          <w:szCs w:val="32"/>
        </w:rPr>
        <w:t>估，对该项目编制了绩效目标，预算执行过程中，开展绩效监控，年终执行完毕后，对项目开展了绩效目标完成情况梳理填报。</w:t>
      </w:r>
    </w:p>
    <w:p>
      <w:pPr>
        <w:widowControl/>
        <w:adjustRightInd w:val="0"/>
        <w:snapToGrid w:val="0"/>
        <w:spacing w:line="540" w:lineRule="exact"/>
        <w:ind w:firstLine="720"/>
        <w:jc w:val="left"/>
        <w:rPr>
          <w:rFonts w:ascii="仿宋" w:hAnsi="仿宋" w:eastAsia="仿宋" w:cs="宋体"/>
          <w:color w:val="000000"/>
          <w:kern w:val="0"/>
          <w:szCs w:val="32"/>
          <w:shd w:val="clear" w:color="auto" w:fill="FFFFFF"/>
          <w:lang w:val="zh-CN"/>
        </w:rPr>
      </w:pPr>
      <w:r>
        <w:rPr>
          <w:rFonts w:hint="eastAsia" w:ascii="仿宋_GB2312" w:hAnsi="仿宋_GB2312" w:eastAsia="仿宋_GB2312" w:cs="仿宋_GB2312"/>
          <w:sz w:val="32"/>
          <w:szCs w:val="32"/>
        </w:rPr>
        <w:t>本部门按要求对2018年部门整体支出开展绩效自评，从评价情况来看：我单位</w:t>
      </w:r>
      <w:r>
        <w:rPr>
          <w:rFonts w:hint="eastAsia" w:ascii="仿宋_GB2312" w:hAnsi="仿宋_GB2312" w:eastAsia="仿宋_GB2312" w:cs="仿宋_GB2312"/>
          <w:sz w:val="32"/>
          <w:szCs w:val="32"/>
          <w:lang w:val="zh-CN"/>
        </w:rPr>
        <w:t>2018年部门支出与年初预算基本一致，达到预期绩效目标，但预算编制还需进一步细化。</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本部门2018年度共有一个项目支出，在2018年度部门决算中反映为“农林水支出-扶贫-其他扶贫支出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560" w:lineRule="exact"/>
        <w:ind w:left="-143" w:leftChars="-68" w:firstLine="640" w:firstLineChars="200"/>
        <w:rPr>
          <w:rFonts w:ascii="仿宋_GB2312" w:eastAsia="仿宋_GB2312"/>
          <w:bCs/>
          <w:sz w:val="32"/>
          <w:szCs w:val="32"/>
          <w:lang w:val="zh-CN"/>
        </w:rPr>
      </w:pPr>
      <w:r>
        <w:rPr>
          <w:rFonts w:hint="eastAsia" w:ascii="仿宋_GB2312" w:hAnsi="仿宋_GB2312" w:eastAsia="仿宋_GB2312" w:cs="仿宋_GB2312"/>
          <w:sz w:val="32"/>
          <w:szCs w:val="32"/>
        </w:rPr>
        <w:t>项目全年预算数631.46万元，执行数为631.46万元，完成预算的100%。通过项目实施，</w:t>
      </w:r>
      <w:r>
        <w:rPr>
          <w:rFonts w:hint="eastAsia" w:ascii="仿宋_GB2312" w:eastAsia="仿宋_GB2312"/>
          <w:bCs/>
          <w:sz w:val="32"/>
          <w:szCs w:val="32"/>
          <w:lang w:val="zh-CN"/>
        </w:rPr>
        <w:t>保障了城乡居民建档立卡贫困人员</w:t>
      </w:r>
      <w:r>
        <w:rPr>
          <w:rFonts w:hint="eastAsia" w:ascii="仿宋_GB2312" w:eastAsia="仿宋_GB2312"/>
          <w:sz w:val="32"/>
          <w:szCs w:val="32"/>
        </w:rPr>
        <w:t>大病补充商业保险</w:t>
      </w:r>
      <w:r>
        <w:rPr>
          <w:rFonts w:hint="eastAsia" w:ascii="仿宋_GB2312" w:eastAsia="仿宋_GB2312"/>
          <w:bCs/>
          <w:sz w:val="32"/>
          <w:szCs w:val="32"/>
        </w:rPr>
        <w:t>参保缴费</w:t>
      </w:r>
      <w:r>
        <w:rPr>
          <w:rFonts w:hint="eastAsia" w:ascii="仿宋_GB2312" w:eastAsia="仿宋_GB2312"/>
          <w:bCs/>
          <w:sz w:val="32"/>
          <w:szCs w:val="32"/>
          <w:lang w:val="zh-CN"/>
        </w:rPr>
        <w:t>，得到城乡居民参保人员的理解和满意。</w:t>
      </w:r>
    </w:p>
    <w:p>
      <w:pPr>
        <w:spacing w:line="560" w:lineRule="exact"/>
        <w:ind w:left="-143" w:leftChars="-68" w:firstLine="640" w:firstLineChars="200"/>
        <w:rPr>
          <w:rFonts w:ascii="仿宋_GB2312" w:eastAsia="仿宋_GB2312"/>
          <w:bCs/>
          <w:sz w:val="32"/>
          <w:szCs w:val="32"/>
          <w:lang w:val="zh-CN"/>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176"/>
        <w:gridCol w:w="2241"/>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18"/>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(2018年度)</w:t>
            </w:r>
          </w:p>
        </w:tc>
      </w:tr>
      <w:tr>
        <w:tblPrEx>
          <w:tblLayout w:type="fixed"/>
          <w:tblCellMar>
            <w:top w:w="0" w:type="dxa"/>
            <w:left w:w="0" w:type="dxa"/>
            <w:bottom w:w="0" w:type="dxa"/>
            <w:right w:w="0" w:type="dxa"/>
          </w:tblCellMar>
        </w:tblPrEx>
        <w:trPr>
          <w:trHeight w:val="276" w:hRule="atLeast"/>
        </w:trPr>
        <w:tc>
          <w:tcPr>
            <w:tcW w:w="293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02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201809-2018年州级财政专项扶贫资金</w:t>
            </w:r>
          </w:p>
        </w:tc>
      </w:tr>
      <w:tr>
        <w:tblPrEx>
          <w:tblLayout w:type="fixed"/>
          <w:tblCellMar>
            <w:top w:w="0" w:type="dxa"/>
            <w:left w:w="0" w:type="dxa"/>
            <w:bottom w:w="0" w:type="dxa"/>
            <w:right w:w="0" w:type="dxa"/>
          </w:tblCellMar>
        </w:tblPrEx>
        <w:trPr>
          <w:trHeight w:val="276" w:hRule="atLeast"/>
        </w:trPr>
        <w:tc>
          <w:tcPr>
            <w:tcW w:w="293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02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阿坝州医保局</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5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631.46万元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631.46万元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5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631.46万元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631.46万元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54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r>
              <w:rPr>
                <w:rFonts w:hint="eastAsia" w:ascii="宋体" w:hAnsi="宋体" w:cs="宋体"/>
                <w:color w:val="000000"/>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ind w:firstLine="480" w:firstLineChars="200"/>
              <w:rPr>
                <w:rFonts w:ascii="仿宋_GB2312" w:hAnsi="仿宋_GB2312" w:cs="仿宋_GB2312"/>
                <w:sz w:val="32"/>
                <w:szCs w:val="32"/>
              </w:rPr>
            </w:pPr>
            <w:r>
              <w:rPr>
                <w:rFonts w:hint="eastAsia" w:ascii="宋体" w:hAnsi="宋体" w:cs="宋体"/>
                <w:color w:val="000000"/>
                <w:kern w:val="0"/>
                <w:sz w:val="24"/>
                <w:lang w:val="zh-CN"/>
              </w:rPr>
              <w:t>保障</w:t>
            </w:r>
            <w:r>
              <w:rPr>
                <w:rFonts w:hint="eastAsia" w:ascii="宋体" w:hAnsi="宋体" w:cs="宋体"/>
                <w:color w:val="000000"/>
                <w:kern w:val="0"/>
                <w:sz w:val="24"/>
              </w:rPr>
              <w:t>全州</w:t>
            </w:r>
            <w:r>
              <w:rPr>
                <w:rFonts w:hint="eastAsia" w:ascii="宋体" w:hAnsi="宋体" w:cs="宋体"/>
                <w:color w:val="000000"/>
                <w:kern w:val="0"/>
                <w:sz w:val="24"/>
                <w:lang w:val="zh-CN"/>
              </w:rPr>
              <w:t>城乡居民建档立卡贫困人员</w:t>
            </w:r>
            <w:r>
              <w:rPr>
                <w:rFonts w:hint="eastAsia" w:ascii="宋体" w:hAnsi="宋体" w:cs="宋体"/>
                <w:color w:val="000000"/>
                <w:kern w:val="0"/>
                <w:sz w:val="24"/>
              </w:rPr>
              <w:t>大病补充商业保险参保缴费</w:t>
            </w:r>
            <w:r>
              <w:rPr>
                <w:rFonts w:hint="eastAsia" w:ascii="宋体" w:hAnsi="宋体" w:cs="宋体"/>
                <w:color w:val="000000"/>
                <w:kern w:val="0"/>
                <w:sz w:val="24"/>
                <w:lang w:val="zh-CN"/>
              </w:rPr>
              <w:t>。</w:t>
            </w:r>
          </w:p>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spacing w:line="560" w:lineRule="exact"/>
              <w:ind w:firstLine="480" w:firstLineChars="200"/>
              <w:rPr>
                <w:rFonts w:ascii="仿宋_GB2312" w:hAnsi="仿宋_GB2312" w:cs="仿宋_GB2312"/>
                <w:sz w:val="32"/>
                <w:szCs w:val="32"/>
              </w:rPr>
            </w:pPr>
            <w:r>
              <w:rPr>
                <w:rFonts w:hint="eastAsia" w:ascii="宋体" w:hAnsi="宋体" w:cs="宋体"/>
                <w:color w:val="000000"/>
                <w:kern w:val="0"/>
                <w:sz w:val="24"/>
                <w:lang w:val="zh-CN"/>
              </w:rPr>
              <w:t>保障</w:t>
            </w:r>
            <w:r>
              <w:rPr>
                <w:rFonts w:hint="eastAsia" w:ascii="宋体" w:hAnsi="宋体" w:cs="宋体"/>
                <w:color w:val="000000"/>
                <w:kern w:val="0"/>
                <w:sz w:val="24"/>
              </w:rPr>
              <w:t>全州</w:t>
            </w:r>
            <w:r>
              <w:rPr>
                <w:rFonts w:hint="eastAsia" w:ascii="宋体" w:hAnsi="宋体" w:cs="宋体"/>
                <w:color w:val="000000"/>
                <w:kern w:val="0"/>
                <w:sz w:val="24"/>
                <w:lang w:val="zh-CN"/>
              </w:rPr>
              <w:t>城乡居民建档立卡贫困人员</w:t>
            </w:r>
            <w:r>
              <w:rPr>
                <w:rFonts w:hint="eastAsia" w:ascii="宋体" w:hAnsi="宋体" w:cs="宋体"/>
                <w:color w:val="000000"/>
                <w:kern w:val="0"/>
                <w:sz w:val="24"/>
              </w:rPr>
              <w:t>大病补充商业保险参保缴费</w:t>
            </w:r>
            <w:r>
              <w:rPr>
                <w:rFonts w:hint="eastAsia" w:ascii="宋体" w:hAnsi="宋体" w:cs="宋体"/>
                <w:color w:val="000000"/>
                <w:kern w:val="0"/>
                <w:sz w:val="24"/>
                <w:lang w:val="zh-CN"/>
              </w:rPr>
              <w:t>。</w:t>
            </w:r>
          </w:p>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支付全州</w:t>
            </w:r>
            <w:r>
              <w:rPr>
                <w:rFonts w:hint="eastAsia" w:ascii="宋体" w:hAnsi="宋体" w:cs="宋体"/>
                <w:color w:val="000000"/>
                <w:kern w:val="0"/>
                <w:sz w:val="24"/>
                <w:lang w:val="zh-CN"/>
              </w:rPr>
              <w:t>城乡居民建档立卡贫困人员</w:t>
            </w:r>
            <w:r>
              <w:rPr>
                <w:rFonts w:hint="eastAsia" w:ascii="宋体" w:hAnsi="宋体" w:cs="宋体"/>
                <w:color w:val="000000"/>
                <w:kern w:val="0"/>
                <w:sz w:val="24"/>
              </w:rPr>
              <w:t>大病补充商业保险参保费用631.46万元。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支付全州</w:t>
            </w:r>
            <w:r>
              <w:rPr>
                <w:rFonts w:hint="eastAsia" w:ascii="宋体" w:hAnsi="宋体" w:cs="宋体"/>
                <w:color w:val="000000"/>
                <w:kern w:val="0"/>
                <w:sz w:val="24"/>
                <w:lang w:val="zh-CN"/>
              </w:rPr>
              <w:t>城乡居民建档立卡贫困人员</w:t>
            </w:r>
            <w:r>
              <w:rPr>
                <w:rFonts w:hint="eastAsia" w:ascii="宋体" w:hAnsi="宋体" w:cs="宋体"/>
                <w:color w:val="000000"/>
                <w:kern w:val="0"/>
                <w:sz w:val="24"/>
              </w:rPr>
              <w:t>大病补充商业保险参保费用631.46万元。</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1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2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zh-CN"/>
              </w:rPr>
              <w:t>得到城乡居民参保人员的理解和满意。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val="zh-CN"/>
              </w:rPr>
              <w:t>得到城乡居民参保人员的理解和满意。</w:t>
            </w:r>
          </w:p>
        </w:tc>
      </w:tr>
    </w:tbl>
    <w:p>
      <w:pPr>
        <w:rPr>
          <w:rFonts w:ascii="Calibri" w:hAnsi="Calibri"/>
        </w:rPr>
      </w:pPr>
    </w:p>
    <w:p>
      <w:pPr>
        <w:spacing w:line="580" w:lineRule="exact"/>
        <w:rPr>
          <w:rFonts w:ascii="仿宋_GB2312" w:hAnsi="仿宋_GB2312" w:eastAsia="仿宋_GB2312" w:cs="仿宋_GB2312"/>
          <w:sz w:val="32"/>
          <w:szCs w:val="32"/>
        </w:rPr>
      </w:pPr>
    </w:p>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widowControl/>
        <w:spacing w:line="540" w:lineRule="exact"/>
        <w:ind w:left="-120" w:leftChars="-57" w:firstLine="1"/>
        <w:jc w:val="left"/>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本部门按要求对2018年部门整体支出绩效评价情况开展自评，《阿坝州医疗保险管理局2018年部门整体支出绩效评价报告》见附件。</w:t>
      </w:r>
    </w:p>
    <w:p>
      <w:pPr>
        <w:spacing w:line="600" w:lineRule="exact"/>
        <w:ind w:firstLine="800" w:firstLineChars="250"/>
        <w:outlineLvl w:val="1"/>
        <w:rPr>
          <w:rStyle w:val="27"/>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7"/>
          <w:rFonts w:hint="eastAsia" w:ascii="黑体" w:hAnsi="黑体" w:eastAsia="黑体"/>
        </w:rPr>
        <w:t>一、</w:t>
      </w:r>
      <w:r>
        <w:rPr>
          <w:rStyle w:val="27"/>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8年，阿坝州医保局机关运行经费支出101.89万元，比</w:t>
      </w:r>
      <w:r>
        <w:rPr>
          <w:rFonts w:ascii="仿宋_GB2312" w:eastAsia="仿宋_GB2312"/>
          <w:color w:val="000000"/>
          <w:sz w:val="32"/>
          <w:szCs w:val="32"/>
        </w:rPr>
        <w:t>201</w:t>
      </w:r>
      <w:r>
        <w:rPr>
          <w:rFonts w:hint="eastAsia" w:ascii="仿宋_GB2312" w:eastAsia="仿宋_GB2312"/>
          <w:color w:val="000000"/>
          <w:sz w:val="32"/>
          <w:szCs w:val="32"/>
        </w:rPr>
        <w:t>7年减少23.91万元，下降19.01</w:t>
      </w:r>
      <w:r>
        <w:rPr>
          <w:rFonts w:ascii="仿宋_GB2312" w:eastAsia="仿宋_GB2312"/>
          <w:color w:val="000000"/>
          <w:sz w:val="32"/>
          <w:szCs w:val="32"/>
        </w:rPr>
        <w:t>%</w:t>
      </w:r>
      <w:r>
        <w:rPr>
          <w:rFonts w:hint="eastAsia" w:ascii="仿宋_GB2312" w:eastAsia="仿宋_GB2312"/>
          <w:color w:val="000000"/>
          <w:sz w:val="32"/>
          <w:szCs w:val="32"/>
        </w:rPr>
        <w:t>。主要原因是厉行节约，反对浪费原则控制公务经费使用。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阿坝州医保局政府采购支出总额18.30万元，其中：政府采购货物支出0.50万元、政府采购工程支出0万元、政府采购服务支出17.8万元。主要用于购置办公设备（笔记本电脑一台0.5万元）、信息网络购建（跨省异地就医和门诊特殊疾病省内异地就医接口改造17.8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日，阿坝州医保局国有固定资产共计55.02万元，其中：通用设备37.2万元，家具用具装具及动植物17.82万元。车辆0辆；单价50万元以上通用设备0台（套），单价100万元以上专用设备0台（套）。</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5"/>
        </w:numPr>
        <w:spacing w:line="600" w:lineRule="exact"/>
        <w:ind w:firstLine="663" w:firstLineChars="150"/>
        <w:jc w:val="center"/>
        <w:outlineLvl w:val="0"/>
        <w:rPr>
          <w:rStyle w:val="26"/>
          <w:rFonts w:ascii="黑体" w:hAnsi="黑体" w:eastAsia="黑体"/>
          <w:b w:val="0"/>
        </w:rPr>
      </w:pPr>
      <w:bookmarkStart w:id="55" w:name="_Toc15377225"/>
      <w:bookmarkStart w:id="56" w:name="_Toc15396613"/>
      <w:r>
        <w:rPr>
          <w:rFonts w:hint="eastAsia" w:ascii="黑体" w:hAnsi="黑体" w:eastAsia="黑体"/>
          <w:b/>
          <w:color w:val="000000"/>
          <w:sz w:val="44"/>
          <w:szCs w:val="44"/>
        </w:rPr>
        <w:t>名</w:t>
      </w:r>
      <w:r>
        <w:rPr>
          <w:rStyle w:val="26"/>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17"/>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17"/>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eastAsia="仿宋_GB2312"/>
          <w:color w:val="000000"/>
          <w:sz w:val="32"/>
          <w:szCs w:val="32"/>
        </w:rPr>
        <w:t>社会保障和就业/人力资源和社会保障管理事务/社会保险经办机构：指社会保险经办机构开支业务工作的支出。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10.社会保障和就业/行政事业单位离退休/机关事业单位基本养老保险缴费支出: 指机关事业单位实施养老保险制度由单位缴纳的基本养老保险费支出。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11.社会保障和就业/行政事业单位离退休/机关事业单位职业年金缴费支出: 指机关事业单位实施养老保险制度由单位缴纳的职业年金支出。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12.社会保障和就业/退役安置/军队移交政府的离退休人员安置: 指移交政府的军队离退休人员安置支出。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13.医疗卫生与计划生育/行政事业单位医疗/事业单位医疗:指财政部门安排的事业单位基本医疗保险缴费经费，未参加医疗保险的事业单位的公费医疗经费，按国家规定享受离休人员待遇的医疗经费。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14.医疗卫生与计划生育/行政事业单位医疗/其他行政事业单位医疗支出:指除上述项目以外的其他用于行政事业单位医疗方面的支出。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15.农林水支出/扶贫/其他扶贫支出:指除上述项目以外其他用于扶贫方面的支出。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16.住房保障支出/住房改革支出/住房公积金:指行政事业单位按人力资源和社会保障部、财政部规定的基本工资和津贴补贴以及规定比例为职工缴纳的住房公积金。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 xml:space="preserve">18.项目支出：指在基本支出之外为完成特定行政任务和事业发展目标所发生的支出。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9.</w:t>
      </w:r>
      <w:r>
        <w:rPr>
          <w:rFonts w:hint="eastAsia" w:ascii="仿宋_GB2312" w:eastAsia="仿宋_GB2312"/>
          <w:color w:val="000000"/>
          <w:sz w:val="32"/>
          <w:szCs w:val="32"/>
        </w:rPr>
        <w:t>经营支出：指事业单位在专业业务活动及其辅助活动之外开展非独立核算经营活动发生的支出。</w:t>
      </w:r>
    </w:p>
    <w:p>
      <w:pPr>
        <w:pStyle w:val="17"/>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7"/>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6"/>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6"/>
          <w:rFonts w:hint="eastAsia" w:ascii="黑体" w:hAnsi="黑体" w:eastAsia="黑体"/>
          <w:b w:val="0"/>
        </w:rPr>
        <w:t>四部分 附件</w:t>
      </w:r>
      <w:bookmarkEnd w:id="58"/>
    </w:p>
    <w:p>
      <w:pPr>
        <w:spacing w:line="600" w:lineRule="exact"/>
        <w:jc w:val="center"/>
        <w:outlineLvl w:val="0"/>
        <w:rPr>
          <w:rStyle w:val="26"/>
        </w:rPr>
      </w:pPr>
    </w:p>
    <w:p>
      <w:pPr>
        <w:pStyle w:val="3"/>
        <w:rPr>
          <w:rStyle w:val="26"/>
          <w:rFonts w:ascii="仿宋" w:hAnsi="仿宋" w:eastAsia="仿宋"/>
          <w:b w:val="0"/>
          <w:bCs w:val="0"/>
          <w:sz w:val="32"/>
          <w:szCs w:val="32"/>
        </w:rPr>
      </w:pPr>
      <w:bookmarkStart w:id="59" w:name="_Toc15396615"/>
      <w:r>
        <w:rPr>
          <w:rStyle w:val="26"/>
          <w:rFonts w:hint="eastAsia" w:ascii="仿宋" w:hAnsi="仿宋" w:eastAsia="仿宋"/>
          <w:b w:val="0"/>
          <w:bCs w:val="0"/>
          <w:sz w:val="32"/>
          <w:szCs w:val="32"/>
        </w:rPr>
        <w:t>附件1</w:t>
      </w:r>
      <w:bookmarkEnd w:id="59"/>
    </w:p>
    <w:p>
      <w:pPr>
        <w:spacing w:line="600" w:lineRule="exact"/>
        <w:jc w:val="center"/>
        <w:outlineLvl w:val="0"/>
        <w:rPr>
          <w:rFonts w:ascii="黑体" w:hAnsi="黑体" w:eastAsia="黑体" w:cs="方正小标宋简体"/>
          <w:sz w:val="36"/>
          <w:szCs w:val="36"/>
          <w:lang w:val="zh-CN"/>
        </w:rPr>
      </w:pPr>
      <w:bookmarkStart w:id="60" w:name="_Toc15396616"/>
      <w:r>
        <w:rPr>
          <w:rFonts w:hint="eastAsia" w:ascii="黑体" w:hAnsi="黑体" w:eastAsia="黑体" w:cs="方正小标宋简体"/>
          <w:sz w:val="36"/>
          <w:szCs w:val="36"/>
          <w:lang w:val="zh-CN"/>
        </w:rPr>
        <w:t>阿坝州医疗保险管理局</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2018年部门整体支出绩效评价报告</w:t>
      </w:r>
      <w:bookmarkEnd w:id="60"/>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widowControl/>
        <w:adjustRightInd w:val="0"/>
        <w:snapToGrid w:val="0"/>
        <w:spacing w:line="540" w:lineRule="exact"/>
        <w:ind w:firstLine="640" w:firstLineChars="200"/>
        <w:jc w:val="left"/>
        <w:rPr>
          <w:rFonts w:ascii="仿宋" w:hAnsi="仿宋" w:eastAsia="仿宋" w:cs="宋体"/>
          <w:bCs/>
          <w:color w:val="000000"/>
          <w:kern w:val="0"/>
          <w:sz w:val="32"/>
          <w:szCs w:val="32"/>
          <w:shd w:val="clear" w:color="auto" w:fill="FFFFFF"/>
          <w:lang w:val="zh-CN"/>
        </w:rPr>
      </w:pPr>
      <w:r>
        <w:rPr>
          <w:rFonts w:hint="eastAsia" w:ascii="仿宋" w:hAnsi="仿宋" w:eastAsia="仿宋" w:cs="宋体"/>
          <w:bCs/>
          <w:color w:val="000000"/>
          <w:kern w:val="0"/>
          <w:sz w:val="32"/>
          <w:szCs w:val="32"/>
          <w:shd w:val="clear" w:color="auto" w:fill="FFFFFF"/>
          <w:lang w:val="zh-CN"/>
        </w:rPr>
        <w:t>（一）机构组成</w:t>
      </w:r>
    </w:p>
    <w:p>
      <w:pPr>
        <w:widowControl/>
        <w:adjustRightInd w:val="0"/>
        <w:snapToGrid w:val="0"/>
        <w:spacing w:line="540" w:lineRule="exact"/>
        <w:ind w:firstLine="640" w:firstLineChars="200"/>
        <w:jc w:val="left"/>
        <w:rPr>
          <w:rFonts w:ascii="仿宋" w:hAnsi="仿宋" w:eastAsia="仿宋" w:cs="宋体"/>
          <w:bCs/>
          <w:color w:val="000000"/>
          <w:kern w:val="0"/>
          <w:sz w:val="32"/>
          <w:szCs w:val="32"/>
          <w:shd w:val="clear" w:color="auto" w:fill="FFFFFF"/>
          <w:lang w:val="zh-CN"/>
        </w:rPr>
      </w:pPr>
      <w:r>
        <w:rPr>
          <w:rFonts w:hint="eastAsia" w:ascii="仿宋" w:hAnsi="仿宋" w:eastAsia="仿宋" w:cs="宋体"/>
          <w:bCs/>
          <w:color w:val="000000"/>
          <w:kern w:val="0"/>
          <w:sz w:val="32"/>
          <w:szCs w:val="32"/>
          <w:shd w:val="clear" w:color="auto" w:fill="FFFFFF"/>
          <w:lang w:val="zh-CN"/>
        </w:rPr>
        <w:t>州编委核定阿坝州医疗保险管理局内设科室7科1室，即：办公室、审核结算科、基金管理科、统筹科、医疗监管科、审计稽核科、异地就医结算科和城乡居民医疗保险科。</w:t>
      </w:r>
    </w:p>
    <w:p>
      <w:pPr>
        <w:widowControl/>
        <w:adjustRightInd w:val="0"/>
        <w:snapToGrid w:val="0"/>
        <w:spacing w:line="540" w:lineRule="exact"/>
        <w:ind w:firstLine="640" w:firstLineChars="200"/>
        <w:jc w:val="left"/>
        <w:rPr>
          <w:rFonts w:ascii="仿宋" w:hAnsi="仿宋" w:eastAsia="仿宋" w:cs="宋体"/>
          <w:bCs/>
          <w:color w:val="000000"/>
          <w:kern w:val="0"/>
          <w:sz w:val="32"/>
          <w:szCs w:val="32"/>
          <w:shd w:val="clear" w:color="auto" w:fill="FFFFFF"/>
          <w:lang w:val="zh-CN"/>
        </w:rPr>
      </w:pPr>
      <w:r>
        <w:rPr>
          <w:rFonts w:hint="eastAsia" w:ascii="仿宋" w:hAnsi="仿宋" w:eastAsia="仿宋" w:cs="宋体"/>
          <w:bCs/>
          <w:color w:val="000000"/>
          <w:kern w:val="0"/>
          <w:sz w:val="32"/>
          <w:szCs w:val="32"/>
          <w:shd w:val="clear" w:color="auto" w:fill="FFFFFF"/>
          <w:lang w:val="zh-CN"/>
        </w:rPr>
        <w:t>（二）机构职能</w:t>
      </w:r>
    </w:p>
    <w:p>
      <w:pPr>
        <w:widowControl/>
        <w:adjustRightInd w:val="0"/>
        <w:snapToGrid w:val="0"/>
        <w:spacing w:line="540" w:lineRule="exact"/>
        <w:ind w:firstLine="640" w:firstLineChars="200"/>
        <w:jc w:val="left"/>
        <w:rPr>
          <w:rFonts w:ascii="仿宋" w:hAnsi="仿宋" w:eastAsia="仿宋" w:cs="宋体"/>
          <w:bCs/>
          <w:color w:val="000000"/>
          <w:kern w:val="0"/>
          <w:sz w:val="32"/>
          <w:szCs w:val="32"/>
          <w:shd w:val="clear" w:color="auto" w:fill="FFFFFF"/>
          <w:lang w:val="zh-CN"/>
        </w:rPr>
      </w:pPr>
      <w:r>
        <w:rPr>
          <w:rFonts w:hint="eastAsia" w:ascii="仿宋" w:hAnsi="仿宋" w:eastAsia="仿宋" w:cs="宋体"/>
          <w:bCs/>
          <w:color w:val="000000"/>
          <w:kern w:val="0"/>
          <w:sz w:val="32"/>
          <w:szCs w:val="32"/>
          <w:shd w:val="clear" w:color="auto" w:fill="FFFFFF"/>
          <w:lang w:val="zh-CN"/>
        </w:rPr>
        <w:t>根据《国务院关于建立城镇职工基本医疗保险制度的决定》（国发[1998]44号）、《国务院关于整合城乡居民基本医疗保险制度的意见》（国发〔2016〕3号）、《社会保险法》、《社会保险费征缴暂行条例》（国务院第259号令）、《社会保险登记管理暂行办法》（劳动保障部第1号令）、《社会保险费申报缴纳管理规定》（人力资源和社会保障部20号令）、《社会保险费征缴监督检查办法》（劳动保障部第3号令）、《社会保险基金财务制度》、《社会保险稽核办法》（劳动保障部第16号令）、阿坝州人民政府《转发省人民政府关于阿坝州城镇职工基本医疗保险暂行办法的批复的通知》（阿府发〔2000〕166号）、《阿坝州城乡居民基本医疗保险实施办法》、《阿坝州城乡居民基本医疗保险实施细则》等法规政策，设置阿坝州医疗保险管理局的工作职责。</w:t>
      </w:r>
    </w:p>
    <w:p>
      <w:pPr>
        <w:widowControl/>
        <w:adjustRightInd w:val="0"/>
        <w:snapToGrid w:val="0"/>
        <w:spacing w:line="540" w:lineRule="exact"/>
        <w:ind w:firstLine="640" w:firstLineChars="200"/>
        <w:jc w:val="left"/>
        <w:rPr>
          <w:rFonts w:ascii="仿宋" w:hAnsi="仿宋" w:eastAsia="仿宋" w:cs="宋体"/>
          <w:bCs/>
          <w:color w:val="000000"/>
          <w:kern w:val="0"/>
          <w:sz w:val="32"/>
          <w:szCs w:val="32"/>
          <w:shd w:val="clear" w:color="auto" w:fill="FFFFFF"/>
          <w:lang w:val="zh-CN"/>
        </w:rPr>
      </w:pPr>
      <w:r>
        <w:rPr>
          <w:rFonts w:hint="eastAsia" w:ascii="仿宋" w:hAnsi="仿宋" w:eastAsia="仿宋" w:cs="宋体"/>
          <w:bCs/>
          <w:color w:val="000000"/>
          <w:kern w:val="0"/>
          <w:sz w:val="32"/>
          <w:szCs w:val="32"/>
          <w:shd w:val="clear" w:color="auto" w:fill="FFFFFF"/>
          <w:lang w:val="zh-CN"/>
        </w:rPr>
        <w:t>围绕国家建立社会保障系统的总体目标要求，贯彻落实医疗保险的法律法规和制度，执行政府赋予医疗保险经办机构的职责，参与制定政府医疗保险法规、政策和计划，合理有效地开展医疗保险业务，促进医疗保险事业可持续发展。</w:t>
      </w:r>
    </w:p>
    <w:p>
      <w:pPr>
        <w:widowControl/>
        <w:adjustRightInd w:val="0"/>
        <w:snapToGrid w:val="0"/>
        <w:spacing w:line="540" w:lineRule="exact"/>
        <w:ind w:firstLine="640" w:firstLineChars="200"/>
        <w:jc w:val="left"/>
        <w:rPr>
          <w:rFonts w:ascii="仿宋" w:hAnsi="仿宋" w:eastAsia="仿宋" w:cs="宋体"/>
          <w:bCs/>
          <w:color w:val="000000"/>
          <w:kern w:val="0"/>
          <w:sz w:val="32"/>
          <w:szCs w:val="32"/>
          <w:shd w:val="clear" w:color="auto" w:fill="FFFFFF"/>
          <w:lang w:val="zh-CN"/>
        </w:rPr>
      </w:pPr>
      <w:r>
        <w:rPr>
          <w:rFonts w:hint="eastAsia" w:ascii="仿宋" w:hAnsi="仿宋" w:eastAsia="仿宋" w:cs="宋体"/>
          <w:bCs/>
          <w:color w:val="000000"/>
          <w:kern w:val="0"/>
          <w:sz w:val="32"/>
          <w:szCs w:val="32"/>
          <w:shd w:val="clear" w:color="auto" w:fill="FFFFFF"/>
          <w:lang w:val="zh-CN"/>
        </w:rPr>
        <w:t>负责组织实施州本级职工医疗保险计划，依照法律规定筹集、管理、使用医疗保险基金，组织、指导、监督管理全州各级医疗保险经办机构的业务工作。负责医疗保险政策的宣传，参与配合行政部门对有关医疗保险事宜的处理工作。</w:t>
      </w:r>
    </w:p>
    <w:p>
      <w:pPr>
        <w:widowControl/>
        <w:adjustRightInd w:val="0"/>
        <w:snapToGrid w:val="0"/>
        <w:spacing w:line="540" w:lineRule="exact"/>
        <w:ind w:firstLine="640" w:firstLineChars="200"/>
        <w:jc w:val="left"/>
        <w:rPr>
          <w:rFonts w:ascii="仿宋" w:hAnsi="仿宋" w:eastAsia="仿宋" w:cs="宋体"/>
          <w:bCs/>
          <w:color w:val="000000"/>
          <w:kern w:val="0"/>
          <w:sz w:val="32"/>
          <w:szCs w:val="32"/>
          <w:shd w:val="clear" w:color="auto" w:fill="FFFFFF"/>
          <w:lang w:val="zh-CN"/>
        </w:rPr>
      </w:pPr>
      <w:r>
        <w:rPr>
          <w:rFonts w:hint="eastAsia" w:ascii="仿宋" w:hAnsi="仿宋" w:eastAsia="仿宋" w:cs="宋体"/>
          <w:bCs/>
          <w:color w:val="000000"/>
          <w:kern w:val="0"/>
          <w:sz w:val="32"/>
          <w:szCs w:val="32"/>
          <w:shd w:val="clear" w:color="auto" w:fill="FFFFFF"/>
          <w:lang w:val="zh-CN"/>
        </w:rPr>
        <w:t>（三）人员概况</w:t>
      </w:r>
    </w:p>
    <w:p>
      <w:pPr>
        <w:widowControl/>
        <w:adjustRightInd w:val="0"/>
        <w:snapToGrid w:val="0"/>
        <w:spacing w:line="540" w:lineRule="exact"/>
        <w:ind w:firstLine="640" w:firstLineChars="200"/>
        <w:jc w:val="left"/>
        <w:rPr>
          <w:rFonts w:ascii="仿宋" w:hAnsi="仿宋" w:eastAsia="仿宋" w:cs="仿宋_GB2312"/>
          <w:sz w:val="32"/>
          <w:szCs w:val="32"/>
        </w:rPr>
      </w:pPr>
      <w:r>
        <w:rPr>
          <w:rFonts w:hint="eastAsia" w:ascii="仿宋" w:hAnsi="仿宋" w:eastAsia="仿宋" w:cs="宋体"/>
          <w:bCs/>
          <w:color w:val="000000"/>
          <w:kern w:val="0"/>
          <w:sz w:val="32"/>
          <w:szCs w:val="32"/>
          <w:shd w:val="clear" w:color="auto" w:fill="FFFFFF"/>
          <w:lang w:val="zh-CN"/>
        </w:rPr>
        <w:t>阿坝州医疗保险管理局核定编制数30名，实有在职职工25人，退休人员1人。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widowControl/>
        <w:tabs>
          <w:tab w:val="left" w:pos="709"/>
        </w:tabs>
        <w:adjustRightInd w:val="0"/>
        <w:snapToGrid w:val="0"/>
        <w:spacing w:line="540" w:lineRule="exact"/>
        <w:ind w:left="-120" w:leftChars="-57" w:firstLine="1"/>
        <w:jc w:val="left"/>
        <w:rPr>
          <w:rFonts w:ascii="仿宋" w:hAnsi="仿宋" w:eastAsia="仿宋" w:cs="仿宋_GB2312"/>
          <w:sz w:val="32"/>
          <w:szCs w:val="32"/>
        </w:rPr>
      </w:pPr>
      <w:r>
        <w:rPr>
          <w:rFonts w:hint="eastAsia" w:ascii="仿宋" w:hAnsi="仿宋" w:eastAsia="仿宋" w:cs="宋体"/>
          <w:bCs/>
          <w:color w:val="000000"/>
          <w:kern w:val="0"/>
          <w:sz w:val="32"/>
          <w:szCs w:val="32"/>
          <w:shd w:val="clear" w:color="auto" w:fill="FFFFFF"/>
          <w:lang w:val="zh-CN"/>
        </w:rPr>
        <w:t>阿坝州医疗保险管理局2018年单位财政资金收入</w:t>
      </w:r>
      <w:r>
        <w:rPr>
          <w:rFonts w:hint="eastAsia" w:ascii="仿宋" w:hAnsi="仿宋" w:eastAsia="仿宋" w:cs="宋体"/>
          <w:bCs/>
          <w:color w:val="000000"/>
          <w:kern w:val="0"/>
          <w:sz w:val="32"/>
          <w:szCs w:val="32"/>
          <w:shd w:val="clear" w:color="auto" w:fill="FFFFFF"/>
        </w:rPr>
        <w:t>1</w:t>
      </w:r>
      <w:r>
        <w:rPr>
          <w:rFonts w:hint="eastAsia" w:ascii="仿宋" w:hAnsi="仿宋" w:eastAsia="仿宋" w:cs="宋体"/>
          <w:bCs/>
          <w:color w:val="000000"/>
          <w:kern w:val="0"/>
          <w:sz w:val="32"/>
          <w:szCs w:val="32"/>
          <w:shd w:val="clear" w:color="auto" w:fill="FFFFFF"/>
          <w:lang w:val="zh-CN"/>
        </w:rPr>
        <w:t>326.9万元；</w:t>
      </w:r>
    </w:p>
    <w:p>
      <w:pPr>
        <w:numPr>
          <w:ilvl w:val="0"/>
          <w:numId w:val="6"/>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widowControl/>
        <w:tabs>
          <w:tab w:val="left" w:pos="709"/>
        </w:tabs>
        <w:adjustRightInd w:val="0"/>
        <w:snapToGrid w:val="0"/>
        <w:spacing w:line="540" w:lineRule="exact"/>
        <w:ind w:firstLine="640" w:firstLineChars="200"/>
        <w:jc w:val="left"/>
        <w:rPr>
          <w:rFonts w:ascii="仿宋" w:hAnsi="仿宋" w:eastAsia="仿宋" w:cs="仿宋_GB2312"/>
          <w:sz w:val="32"/>
          <w:szCs w:val="32"/>
        </w:rPr>
      </w:pPr>
      <w:r>
        <w:rPr>
          <w:rFonts w:hint="eastAsia" w:ascii="仿宋" w:hAnsi="仿宋" w:eastAsia="仿宋" w:cs="宋体"/>
          <w:bCs/>
          <w:color w:val="000000"/>
          <w:kern w:val="0"/>
          <w:sz w:val="32"/>
          <w:szCs w:val="32"/>
          <w:shd w:val="clear" w:color="auto" w:fill="FFFFFF"/>
          <w:lang w:val="zh-CN"/>
        </w:rPr>
        <w:t>阿坝州医疗保险管理局2018年单位财政资金支出1335.6</w:t>
      </w:r>
      <w:r>
        <w:rPr>
          <w:rFonts w:hint="eastAsia" w:ascii="仿宋" w:hAnsi="仿宋" w:eastAsia="仿宋" w:cs="宋体"/>
          <w:bCs/>
          <w:color w:val="000000"/>
          <w:kern w:val="0"/>
          <w:sz w:val="32"/>
          <w:szCs w:val="32"/>
          <w:shd w:val="clear" w:color="auto" w:fill="FFFFFF"/>
        </w:rPr>
        <w:t>6</w:t>
      </w:r>
      <w:r>
        <w:rPr>
          <w:rFonts w:hint="eastAsia" w:ascii="仿宋" w:hAnsi="仿宋" w:eastAsia="仿宋" w:cs="宋体"/>
          <w:bCs/>
          <w:color w:val="000000"/>
          <w:kern w:val="0"/>
          <w:sz w:val="32"/>
          <w:szCs w:val="32"/>
          <w:shd w:val="clear" w:color="auto" w:fill="FFFFFF"/>
          <w:lang w:val="zh-CN"/>
        </w:rPr>
        <w:t>万元，其中社会保险经办机构401.</w:t>
      </w:r>
      <w:r>
        <w:rPr>
          <w:rFonts w:hint="eastAsia" w:ascii="仿宋" w:hAnsi="仿宋" w:eastAsia="仿宋" w:cs="宋体"/>
          <w:bCs/>
          <w:color w:val="000000"/>
          <w:kern w:val="0"/>
          <w:sz w:val="32"/>
          <w:szCs w:val="32"/>
          <w:shd w:val="clear" w:color="auto" w:fill="FFFFFF"/>
        </w:rPr>
        <w:t>5</w:t>
      </w:r>
      <w:r>
        <w:rPr>
          <w:rFonts w:hint="eastAsia" w:ascii="仿宋" w:hAnsi="仿宋" w:eastAsia="仿宋" w:cs="宋体"/>
          <w:bCs/>
          <w:color w:val="000000"/>
          <w:kern w:val="0"/>
          <w:sz w:val="32"/>
          <w:szCs w:val="32"/>
          <w:shd w:val="clear" w:color="auto" w:fill="FFFFFF"/>
          <w:lang w:val="zh-CN"/>
        </w:rPr>
        <w:t>6万元，占30.0</w:t>
      </w:r>
      <w:r>
        <w:rPr>
          <w:rFonts w:hint="eastAsia" w:ascii="仿宋" w:hAnsi="仿宋" w:eastAsia="仿宋" w:cs="宋体"/>
          <w:bCs/>
          <w:color w:val="000000"/>
          <w:kern w:val="0"/>
          <w:sz w:val="32"/>
          <w:szCs w:val="32"/>
          <w:shd w:val="clear" w:color="auto" w:fill="FFFFFF"/>
        </w:rPr>
        <w:t>6</w:t>
      </w:r>
      <w:r>
        <w:rPr>
          <w:rFonts w:hint="eastAsia" w:ascii="仿宋" w:hAnsi="仿宋" w:eastAsia="仿宋" w:cs="宋体"/>
          <w:bCs/>
          <w:color w:val="000000"/>
          <w:kern w:val="0"/>
          <w:sz w:val="32"/>
          <w:szCs w:val="32"/>
          <w:shd w:val="clear" w:color="auto" w:fill="FFFFFF"/>
          <w:lang w:val="zh-CN"/>
        </w:rPr>
        <w:t>%；机关事业单位养老保险39.6</w:t>
      </w:r>
      <w:r>
        <w:rPr>
          <w:rFonts w:hint="eastAsia" w:ascii="仿宋" w:hAnsi="仿宋" w:eastAsia="仿宋" w:cs="宋体"/>
          <w:bCs/>
          <w:color w:val="000000"/>
          <w:kern w:val="0"/>
          <w:sz w:val="32"/>
          <w:szCs w:val="32"/>
          <w:shd w:val="clear" w:color="auto" w:fill="FFFFFF"/>
        </w:rPr>
        <w:t>6</w:t>
      </w:r>
      <w:r>
        <w:rPr>
          <w:rFonts w:hint="eastAsia" w:ascii="仿宋" w:hAnsi="仿宋" w:eastAsia="仿宋" w:cs="宋体"/>
          <w:bCs/>
          <w:color w:val="000000"/>
          <w:kern w:val="0"/>
          <w:sz w:val="32"/>
          <w:szCs w:val="32"/>
          <w:shd w:val="clear" w:color="auto" w:fill="FFFFFF"/>
          <w:lang w:val="zh-CN"/>
        </w:rPr>
        <w:t>万元，占2.97%；职业年金15.86万元，占1.19%；军队移交政府的离退休人员安置193.9</w:t>
      </w:r>
      <w:r>
        <w:rPr>
          <w:rFonts w:hint="eastAsia" w:ascii="仿宋" w:hAnsi="仿宋" w:eastAsia="仿宋" w:cs="宋体"/>
          <w:bCs/>
          <w:color w:val="000000"/>
          <w:kern w:val="0"/>
          <w:sz w:val="32"/>
          <w:szCs w:val="32"/>
          <w:shd w:val="clear" w:color="auto" w:fill="FFFFFF"/>
        </w:rPr>
        <w:t>4</w:t>
      </w:r>
      <w:r>
        <w:rPr>
          <w:rFonts w:hint="eastAsia" w:ascii="仿宋" w:hAnsi="仿宋" w:eastAsia="仿宋" w:cs="宋体"/>
          <w:bCs/>
          <w:color w:val="000000"/>
          <w:kern w:val="0"/>
          <w:sz w:val="32"/>
          <w:szCs w:val="32"/>
          <w:shd w:val="clear" w:color="auto" w:fill="FFFFFF"/>
          <w:lang w:val="zh-CN"/>
        </w:rPr>
        <w:t>万元，</w:t>
      </w:r>
      <w:r>
        <w:rPr>
          <w:rFonts w:hint="eastAsia" w:ascii="仿宋" w:hAnsi="仿宋" w:eastAsia="仿宋" w:cs="宋体"/>
          <w:bCs/>
          <w:color w:val="000000"/>
          <w:kern w:val="0"/>
          <w:sz w:val="32"/>
          <w:szCs w:val="32"/>
          <w:shd w:val="clear" w:color="auto" w:fill="FFFFFF"/>
        </w:rPr>
        <w:t>占1</w:t>
      </w:r>
      <w:r>
        <w:rPr>
          <w:rFonts w:hint="eastAsia" w:ascii="仿宋" w:hAnsi="仿宋" w:eastAsia="仿宋" w:cs="宋体"/>
          <w:bCs/>
          <w:color w:val="000000"/>
          <w:kern w:val="0"/>
          <w:sz w:val="32"/>
          <w:szCs w:val="32"/>
          <w:shd w:val="clear" w:color="auto" w:fill="FFFFFF"/>
          <w:lang w:val="zh-CN"/>
        </w:rPr>
        <w:t>4.52%；医疗卫生与计划生育支出21.7万元，占1.62%；其他扶贫631.46万元，47.2</w:t>
      </w:r>
      <w:r>
        <w:rPr>
          <w:rFonts w:hint="eastAsia" w:ascii="仿宋" w:hAnsi="仿宋" w:eastAsia="仿宋" w:cs="宋体"/>
          <w:bCs/>
          <w:color w:val="000000"/>
          <w:kern w:val="0"/>
          <w:sz w:val="32"/>
          <w:szCs w:val="32"/>
          <w:shd w:val="clear" w:color="auto" w:fill="FFFFFF"/>
        </w:rPr>
        <w:t>8</w:t>
      </w:r>
      <w:r>
        <w:rPr>
          <w:rFonts w:hint="eastAsia" w:ascii="仿宋" w:hAnsi="仿宋" w:eastAsia="仿宋" w:cs="宋体"/>
          <w:bCs/>
          <w:color w:val="000000"/>
          <w:kern w:val="0"/>
          <w:sz w:val="32"/>
          <w:szCs w:val="32"/>
          <w:shd w:val="clear" w:color="auto" w:fill="FFFFFF"/>
          <w:lang w:val="zh-CN"/>
        </w:rPr>
        <w:t>%；住房公积金31.48万元，占2.36%。</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201</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zh-CN"/>
        </w:rPr>
        <w:t>年部门决算、绩效目标填报及年末结余结转都是严格按照州财政局的要求认真完成。我单位按照州财政的要求，认真总结经验，及时上报相关的用款计划，分月、分季度上报相应计划，待财政审核通过后，严格按计划执行，各季度执行情况良好。201</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zh-CN"/>
        </w:rPr>
        <w:t>年支出总额控制在预算总额以内，除专项预算的追加和政策性工资绩效预算的追加外，</w:t>
      </w:r>
      <w:r>
        <w:rPr>
          <w:rFonts w:hint="eastAsia" w:ascii="仿宋_GB2312" w:hAnsi="仿宋_GB2312" w:eastAsia="仿宋_GB2312" w:cs="仿宋_GB2312"/>
          <w:sz w:val="32"/>
          <w:szCs w:val="32"/>
        </w:rPr>
        <w:t>2018年</w:t>
      </w:r>
      <w:r>
        <w:rPr>
          <w:rFonts w:hint="eastAsia" w:ascii="仿宋_GB2312" w:hAnsi="仿宋_GB2312" w:eastAsia="仿宋_GB2312" w:cs="仿宋_GB2312"/>
          <w:sz w:val="32"/>
          <w:szCs w:val="32"/>
          <w:lang w:val="zh-CN"/>
        </w:rPr>
        <w:t>部门预算未进行相关事项的调整。不存在截留或滞留专项资金情况。</w:t>
      </w:r>
    </w:p>
    <w:p>
      <w:pPr>
        <w:spacing w:line="58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2018年,财政拨款收入预算为1326.9万元，支出预算为1335.6</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zh-CN"/>
        </w:rPr>
        <w:t>万元。其中：基本支出:704.2万元，项目支出631.46万元。</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2018年度共有一个项目支出，在2018年度部门决算中反映为“农林水支出-扶贫-其他扶贫支出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，项目绩效目标实际完成情况。</w:t>
      </w:r>
    </w:p>
    <w:p>
      <w:pPr>
        <w:spacing w:line="560" w:lineRule="exact"/>
        <w:ind w:left="-143" w:leftChars="-68"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项目全年预算数631.46万元，执行数为631.46万元，完成预算的100%。农林水支出-扶贫-其他扶贫支出（</w:t>
      </w:r>
      <w:r>
        <w:rPr>
          <w:rFonts w:hint="eastAsia" w:ascii="仿宋_GB2312" w:hAnsi="仿宋_GB2312" w:eastAsia="仿宋_GB2312" w:cs="仿宋_GB2312"/>
          <w:sz w:val="32"/>
          <w:szCs w:val="32"/>
          <w:lang w:val="zh-CN"/>
        </w:rPr>
        <w:t>全州城乡居民建档立卡贫困人员大病补充商业保险费）由经费户</w:t>
      </w:r>
      <w:r>
        <w:rPr>
          <w:rFonts w:hint="eastAsia" w:ascii="仿宋_GB2312" w:hAnsi="仿宋_GB2312" w:eastAsia="仿宋_GB2312" w:cs="仿宋_GB2312"/>
          <w:sz w:val="32"/>
          <w:szCs w:val="32"/>
        </w:rPr>
        <w:t>通过项目支出</w:t>
      </w:r>
      <w:r>
        <w:rPr>
          <w:rFonts w:hint="eastAsia" w:ascii="仿宋_GB2312" w:hAnsi="仿宋_GB2312" w:eastAsia="仿宋_GB2312" w:cs="仿宋_GB2312"/>
          <w:sz w:val="32"/>
          <w:szCs w:val="32"/>
          <w:lang w:val="zh-CN"/>
        </w:rPr>
        <w:t>过渡，</w:t>
      </w:r>
      <w:r>
        <w:rPr>
          <w:rFonts w:hint="eastAsia" w:ascii="仿宋_GB2312" w:hAnsi="仿宋_GB2312" w:eastAsia="仿宋_GB2312" w:cs="仿宋_GB2312"/>
          <w:sz w:val="32"/>
          <w:szCs w:val="32"/>
        </w:rPr>
        <w:t>收到拨款后划转至医疗保险基金专户；通过项目实施，</w:t>
      </w:r>
      <w:r>
        <w:rPr>
          <w:rFonts w:hint="eastAsia" w:ascii="仿宋_GB2312" w:hAnsi="仿宋_GB2312" w:eastAsia="仿宋_GB2312" w:cs="仿宋_GB2312"/>
          <w:sz w:val="32"/>
          <w:szCs w:val="32"/>
          <w:lang w:val="zh-CN"/>
        </w:rPr>
        <w:t>保障了城乡</w:t>
      </w:r>
      <w:r>
        <w:rPr>
          <w:rFonts w:hint="eastAsia" w:ascii="仿宋_GB2312" w:eastAsia="仿宋_GB2312"/>
          <w:bCs/>
          <w:sz w:val="32"/>
          <w:szCs w:val="32"/>
          <w:lang w:val="zh-CN"/>
        </w:rPr>
        <w:t>居民建档立卡贫困人员</w:t>
      </w:r>
      <w:r>
        <w:rPr>
          <w:rFonts w:hint="eastAsia" w:ascii="仿宋_GB2312" w:eastAsia="仿宋_GB2312"/>
          <w:sz w:val="32"/>
          <w:szCs w:val="32"/>
        </w:rPr>
        <w:t>大病补充商业保险</w:t>
      </w:r>
      <w:r>
        <w:rPr>
          <w:rFonts w:hint="eastAsia" w:ascii="仿宋_GB2312" w:eastAsia="仿宋_GB2312"/>
          <w:bCs/>
          <w:sz w:val="32"/>
          <w:szCs w:val="32"/>
        </w:rPr>
        <w:t>参保缴费</w:t>
      </w:r>
      <w:r>
        <w:rPr>
          <w:rFonts w:hint="eastAsia" w:ascii="仿宋_GB2312" w:eastAsia="仿宋_GB2312"/>
          <w:bCs/>
          <w:sz w:val="32"/>
          <w:szCs w:val="32"/>
          <w:lang w:val="zh-CN"/>
        </w:rPr>
        <w:t>，得到城乡居民参保人员的理解和满意。</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60" w:lineRule="exact"/>
        <w:ind w:left="-143" w:leftChars="-68" w:firstLine="640" w:firstLineChars="200"/>
        <w:rPr>
          <w:rFonts w:ascii="仿宋_GB2312" w:eastAsia="仿宋_GB2312"/>
          <w:bCs/>
          <w:sz w:val="32"/>
          <w:szCs w:val="32"/>
          <w:lang w:val="zh-CN"/>
        </w:rPr>
      </w:pPr>
      <w:r>
        <w:rPr>
          <w:rFonts w:hint="eastAsia" w:ascii="仿宋_GB2312" w:eastAsia="仿宋_GB2312"/>
          <w:bCs/>
          <w:sz w:val="32"/>
          <w:szCs w:val="32"/>
          <w:lang w:val="zh-CN"/>
        </w:rPr>
        <w:t>根据阿州财预[2018]15号文件要求，我单位对财政资金使用管理情况，按照《阿坝州州级预算绩效目标管理办法》认真开展自评工作，撰写部门自评报告。我局财务管理严格依法依规，做到公开公平公正，严格执行各项有关法律法规、财经纪律、财务规章制度的同时，我局根据单位自身情况结合各项规定编制了《阿坝州医疗保险管理局经费内控管理制度汇编》，系统阐述了预（决）算、政府采购、国库集中支付、专项资金等管理办法和操作规程。</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widowControl/>
        <w:adjustRightInd w:val="0"/>
        <w:snapToGrid w:val="0"/>
        <w:spacing w:line="540" w:lineRule="exact"/>
        <w:ind w:left="-120" w:leftChars="-57" w:firstLine="640" w:firstLineChars="200"/>
        <w:jc w:val="left"/>
        <w:rPr>
          <w:rFonts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（一）评价结论。我局2018年部门支出与年初预算基本一致，达到预期绩效目标，但预算编制还需进一步细化。</w:t>
      </w:r>
    </w:p>
    <w:p>
      <w:pPr>
        <w:widowControl/>
        <w:adjustRightInd w:val="0"/>
        <w:snapToGrid w:val="0"/>
        <w:spacing w:line="540" w:lineRule="exact"/>
        <w:ind w:left="-120" w:leftChars="-57" w:firstLine="640" w:firstLineChars="200"/>
        <w:jc w:val="left"/>
        <w:rPr>
          <w:rFonts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（二）存在问题。</w:t>
      </w:r>
      <w:r>
        <w:rPr>
          <w:rFonts w:hint="eastAsia" w:ascii="仿宋" w:hAnsi="仿宋" w:eastAsia="仿宋" w:cs="宋体"/>
          <w:color w:val="000000"/>
          <w:kern w:val="0"/>
          <w:sz w:val="32"/>
          <w:szCs w:val="32"/>
          <w:shd w:val="clear" w:color="auto" w:fill="FFFFFF"/>
        </w:rPr>
        <w:t>全年费用支出不均衡</w:t>
      </w:r>
      <w:r>
        <w:rPr>
          <w:rFonts w:hint="eastAsia" w:ascii="仿宋" w:hAnsi="仿宋" w:eastAsia="仿宋" w:cs="宋体"/>
          <w:color w:val="000000"/>
          <w:kern w:val="0"/>
          <w:sz w:val="32"/>
          <w:szCs w:val="32"/>
          <w:shd w:val="clear" w:color="auto" w:fill="FFFFFF"/>
          <w:lang w:val="zh-CN"/>
        </w:rPr>
        <w:t>。主要原因：一是全州城乡居民建档立卡贫困人员大病补充商业保险费由经费户</w:t>
      </w:r>
      <w:r>
        <w:rPr>
          <w:rFonts w:hint="eastAsia" w:ascii="仿宋" w:hAnsi="仿宋" w:eastAsia="仿宋" w:cs="宋体"/>
          <w:color w:val="000000"/>
          <w:kern w:val="0"/>
          <w:sz w:val="32"/>
          <w:szCs w:val="32"/>
          <w:shd w:val="clear" w:color="auto" w:fill="FFFFFF"/>
        </w:rPr>
        <w:t>通过项目支出</w:t>
      </w:r>
      <w:r>
        <w:rPr>
          <w:rFonts w:hint="eastAsia" w:ascii="仿宋" w:hAnsi="仿宋" w:eastAsia="仿宋" w:cs="宋体"/>
          <w:color w:val="000000"/>
          <w:kern w:val="0"/>
          <w:sz w:val="32"/>
          <w:szCs w:val="32"/>
          <w:shd w:val="clear" w:color="auto" w:fill="FFFFFF"/>
          <w:lang w:val="zh-CN"/>
        </w:rPr>
        <w:t>过渡，</w:t>
      </w:r>
      <w:r>
        <w:rPr>
          <w:rFonts w:hint="eastAsia" w:ascii="仿宋" w:hAnsi="仿宋" w:eastAsia="仿宋" w:cs="宋体"/>
          <w:color w:val="000000"/>
          <w:kern w:val="0"/>
          <w:sz w:val="32"/>
          <w:szCs w:val="32"/>
          <w:shd w:val="clear" w:color="auto" w:fill="FFFFFF"/>
        </w:rPr>
        <w:t>基本户收到财政拨款后划转至医保基金专户，故无法均衡开支</w:t>
      </w:r>
      <w:r>
        <w:rPr>
          <w:rFonts w:hint="eastAsia" w:ascii="仿宋" w:hAnsi="仿宋" w:eastAsia="仿宋" w:cs="宋体"/>
          <w:color w:val="000000"/>
          <w:kern w:val="0"/>
          <w:sz w:val="32"/>
          <w:szCs w:val="32"/>
          <w:shd w:val="clear" w:color="auto" w:fill="FFFFFF"/>
          <w:lang w:val="zh-CN"/>
        </w:rPr>
        <w:t>；</w:t>
      </w:r>
      <w:r>
        <w:rPr>
          <w:rFonts w:hint="eastAsia" w:ascii="仿宋" w:hAnsi="仿宋" w:eastAsia="仿宋" w:cs="宋体"/>
          <w:color w:val="000000"/>
          <w:kern w:val="0"/>
          <w:sz w:val="32"/>
          <w:szCs w:val="32"/>
          <w:shd w:val="clear" w:color="auto" w:fill="FFFFFF"/>
        </w:rPr>
        <w:t>二</w:t>
      </w:r>
      <w:r>
        <w:rPr>
          <w:rFonts w:hint="eastAsia" w:ascii="仿宋" w:hAnsi="仿宋" w:eastAsia="仿宋" w:cs="宋体"/>
          <w:color w:val="000000"/>
          <w:kern w:val="0"/>
          <w:sz w:val="32"/>
          <w:szCs w:val="32"/>
          <w:shd w:val="clear" w:color="auto" w:fill="FFFFFF"/>
          <w:lang w:val="zh-CN"/>
        </w:rPr>
        <w:t>是</w:t>
      </w:r>
      <w:r>
        <w:rPr>
          <w:rFonts w:hint="eastAsia" w:ascii="仿宋" w:hAnsi="仿宋" w:eastAsia="仿宋" w:cs="宋体"/>
          <w:color w:val="000000"/>
          <w:kern w:val="0"/>
          <w:sz w:val="32"/>
          <w:szCs w:val="32"/>
          <w:shd w:val="clear" w:color="auto" w:fill="FFFFFF"/>
        </w:rPr>
        <w:t>因办公楼为人社系统综合办公楼，</w:t>
      </w:r>
      <w:r>
        <w:rPr>
          <w:rFonts w:hint="eastAsia" w:ascii="仿宋" w:hAnsi="仿宋" w:eastAsia="仿宋" w:cs="宋体"/>
          <w:color w:val="000000"/>
          <w:kern w:val="0"/>
          <w:sz w:val="32"/>
          <w:szCs w:val="32"/>
          <w:shd w:val="clear" w:color="auto" w:fill="FFFFFF"/>
          <w:lang w:val="zh-CN"/>
        </w:rPr>
        <w:t>水电等相关费用在下半年才分摊；</w:t>
      </w:r>
      <w:r>
        <w:rPr>
          <w:rFonts w:hint="eastAsia" w:ascii="仿宋" w:hAnsi="仿宋" w:eastAsia="仿宋" w:cs="宋体"/>
          <w:color w:val="000000"/>
          <w:kern w:val="0"/>
          <w:sz w:val="32"/>
          <w:szCs w:val="32"/>
          <w:shd w:val="clear" w:color="auto" w:fill="FFFFFF"/>
        </w:rPr>
        <w:t>三</w:t>
      </w:r>
      <w:r>
        <w:rPr>
          <w:rFonts w:hint="eastAsia" w:ascii="仿宋" w:hAnsi="仿宋" w:eastAsia="仿宋" w:cs="宋体"/>
          <w:color w:val="000000"/>
          <w:kern w:val="0"/>
          <w:sz w:val="32"/>
          <w:szCs w:val="32"/>
          <w:shd w:val="clear" w:color="auto" w:fill="FFFFFF"/>
          <w:lang w:val="zh-CN"/>
        </w:rPr>
        <w:t>是职工的体检工作</w:t>
      </w:r>
      <w:r>
        <w:rPr>
          <w:rFonts w:hint="eastAsia" w:ascii="仿宋" w:hAnsi="仿宋" w:eastAsia="仿宋" w:cs="宋体"/>
          <w:color w:val="000000"/>
          <w:kern w:val="0"/>
          <w:sz w:val="32"/>
          <w:szCs w:val="32"/>
          <w:shd w:val="clear" w:color="auto" w:fill="FFFFFF"/>
        </w:rPr>
        <w:t>于下半年</w:t>
      </w:r>
      <w:r>
        <w:rPr>
          <w:rFonts w:hint="eastAsia" w:ascii="仿宋" w:hAnsi="仿宋" w:eastAsia="仿宋" w:cs="宋体"/>
          <w:color w:val="000000"/>
          <w:kern w:val="0"/>
          <w:sz w:val="32"/>
          <w:szCs w:val="32"/>
          <w:shd w:val="clear" w:color="auto" w:fill="FFFFFF"/>
          <w:lang w:val="zh-CN"/>
        </w:rPr>
        <w:t>完成。以上几个方面原因影响了相关经费支出的进度，</w:t>
      </w:r>
      <w:r>
        <w:rPr>
          <w:rFonts w:hint="eastAsia" w:ascii="仿宋" w:hAnsi="仿宋" w:eastAsia="仿宋" w:cs="宋体"/>
          <w:color w:val="000000"/>
          <w:kern w:val="0"/>
          <w:sz w:val="32"/>
          <w:szCs w:val="32"/>
          <w:shd w:val="clear" w:color="auto" w:fill="FFFFFF"/>
        </w:rPr>
        <w:t>存在支出不均衡情况</w:t>
      </w:r>
      <w:r>
        <w:rPr>
          <w:rFonts w:hint="eastAsia" w:ascii="仿宋" w:hAnsi="仿宋" w:eastAsia="仿宋" w:cs="宋体"/>
          <w:color w:val="000000"/>
          <w:kern w:val="0"/>
          <w:sz w:val="32"/>
          <w:szCs w:val="32"/>
          <w:shd w:val="clear" w:color="auto" w:fill="FFFFFF"/>
          <w:lang w:val="zh-CN"/>
        </w:rPr>
        <w:t>。</w:t>
      </w:r>
    </w:p>
    <w:p>
      <w:pPr>
        <w:widowControl/>
        <w:adjustRightInd w:val="0"/>
        <w:snapToGrid w:val="0"/>
        <w:spacing w:line="540" w:lineRule="exact"/>
        <w:ind w:left="-120" w:leftChars="-57" w:firstLine="640" w:firstLineChars="200"/>
        <w:jc w:val="left"/>
        <w:rPr>
          <w:rFonts w:ascii="仿宋" w:hAnsi="仿宋" w:eastAsia="仿宋" w:cs="宋体"/>
          <w:color w:val="000000"/>
          <w:kern w:val="0"/>
          <w:sz w:val="32"/>
          <w:szCs w:val="32"/>
          <w:shd w:val="clear" w:color="auto" w:fill="FFFFFF"/>
          <w:lang w:val="zh-CN"/>
        </w:rPr>
      </w:pPr>
      <w:r>
        <w:rPr>
          <w:rFonts w:hint="eastAsia" w:ascii="仿宋" w:hAnsi="仿宋" w:eastAsia="仿宋" w:cs="宋体"/>
          <w:color w:val="000000"/>
          <w:kern w:val="0"/>
          <w:sz w:val="32"/>
          <w:szCs w:val="32"/>
          <w:shd w:val="clear" w:color="auto" w:fill="FFFFFF"/>
          <w:lang w:val="zh-CN"/>
        </w:rPr>
        <w:t>（三）改进建议。针对目前存在的问题，我局按照部门预算进度做好以下工作：一是严格按照厉行节约原则，严把经费支出关；二是根据年初工作安排，按进度推进专项工作的顺利开展，确保经费的使用进度规范、合理。</w:t>
      </w:r>
    </w:p>
    <w:p>
      <w:pPr>
        <w:spacing w:line="580" w:lineRule="exact"/>
        <w:ind w:firstLine="640" w:firstLineChars="200"/>
        <w:rPr>
          <w:rFonts w:ascii="仿宋_GB2312" w:hAnsi="仿宋_GB2312" w:eastAsia="仿宋_GB2312" w:cs="仿宋_GB2312"/>
          <w:sz w:val="32"/>
          <w:szCs w:val="32"/>
        </w:rPr>
      </w:pPr>
    </w:p>
    <w:p>
      <w:pPr>
        <w:widowControl/>
        <w:jc w:val="left"/>
        <w:rPr>
          <w:rStyle w:val="26"/>
          <w:rFonts w:ascii="仿宋" w:hAnsi="仿宋" w:eastAsia="仿宋"/>
          <w:b w:val="0"/>
          <w:bCs w:val="0"/>
          <w:sz w:val="32"/>
          <w:szCs w:val="32"/>
        </w:rPr>
      </w:pPr>
      <w:r>
        <w:rPr>
          <w:rFonts w:ascii="仿宋_GB2312" w:hAnsi="仿宋_GB2312" w:eastAsia="仿宋_GB2312" w:cs="仿宋_GB2312"/>
          <w:sz w:val="32"/>
          <w:szCs w:val="32"/>
        </w:rPr>
        <w:br w:type="page"/>
      </w:r>
      <w:bookmarkStart w:id="61" w:name="_Toc15396617"/>
      <w:r>
        <w:rPr>
          <w:rStyle w:val="26"/>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2018年阿坝州医疗保险管理局</w:t>
      </w: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项目支出绩效评价报告</w:t>
      </w:r>
    </w:p>
    <w:p>
      <w:pPr>
        <w:spacing w:line="580" w:lineRule="exact"/>
        <w:ind w:firstLine="640" w:firstLineChars="200"/>
        <w:rPr>
          <w:rFonts w:ascii="仿宋_GB2312" w:hAnsi="仿宋_GB2312" w:eastAsia="仿宋_GB2312" w:cs="仿宋_GB2312"/>
          <w:sz w:val="32"/>
          <w:szCs w:val="32"/>
        </w:rPr>
      </w:pP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评价工作开展及项目情况</w:t>
      </w:r>
    </w:p>
    <w:p>
      <w:pPr>
        <w:spacing w:line="580" w:lineRule="exact"/>
        <w:rPr>
          <w:rFonts w:ascii="仿宋" w:hAnsi="仿宋" w:eastAsia="仿宋_GB2312" w:cs="仿宋_GB2312"/>
          <w:sz w:val="32"/>
          <w:szCs w:val="32"/>
        </w:rPr>
      </w:pPr>
      <w:r>
        <w:rPr>
          <w:rFonts w:hint="eastAsia" w:ascii="仿宋_GB2312" w:eastAsia="仿宋_GB2312"/>
          <w:bCs/>
          <w:sz w:val="32"/>
          <w:szCs w:val="32"/>
          <w:lang w:val="zh-CN"/>
        </w:rPr>
        <w:t>根据阿州财预[2018]15号文件要求，我单位对财政资金使用管理情况，按照《阿坝州州级预算绩效目标管理办法》认真开展自评工作，撰写部门自评报告。我局财务管理严格依法依规，做到公开公平公正，严格执行各项有关法律法规、财经纪律、财务规章制度。</w:t>
      </w:r>
      <w:r>
        <w:rPr>
          <w:rFonts w:hint="eastAsia" w:ascii="仿宋_GB2312" w:eastAsia="仿宋_GB2312"/>
          <w:bCs/>
          <w:sz w:val="32"/>
          <w:szCs w:val="32"/>
        </w:rPr>
        <w:t>项目支出绩效报告如下：</w:t>
      </w:r>
    </w:p>
    <w:p>
      <w:pPr>
        <w:spacing w:line="560" w:lineRule="exact"/>
        <w:ind w:firstLine="640" w:firstLineChars="200"/>
        <w:rPr>
          <w:rFonts w:ascii="仿宋_GB2312" w:hAnsi="仿宋" w:eastAsia="仿宋_GB2312"/>
          <w:sz w:val="32"/>
          <w:szCs w:val="32"/>
        </w:rPr>
      </w:pPr>
      <w:r>
        <w:rPr>
          <w:rFonts w:hint="eastAsia" w:ascii="仿宋_GB2312" w:eastAsia="仿宋_GB2312"/>
          <w:bCs/>
          <w:sz w:val="32"/>
          <w:szCs w:val="32"/>
          <w:lang w:val="zh-CN"/>
        </w:rPr>
        <w:t>根据</w:t>
      </w:r>
      <w:r>
        <w:rPr>
          <w:rFonts w:hint="eastAsia" w:ascii="仿宋_GB2312" w:hAnsi="仿宋" w:eastAsia="仿宋_GB2312"/>
          <w:sz w:val="32"/>
          <w:szCs w:val="32"/>
        </w:rPr>
        <w:t>《阿坝州财政局 阿坝州扶贫移民局关于下达2018年州级财政专项扶贫资金的通知》（〔2018〕9号）号文件规定，财政局安排2018年建档立卡贫困人员大病补充商业保险州级配套资金629.3万元，年初财政拨款结转2.16万元。</w:t>
      </w:r>
    </w:p>
    <w:p>
      <w:pPr>
        <w:spacing w:line="560" w:lineRule="exact"/>
        <w:ind w:left="141" w:leftChars="67" w:firstLine="480" w:firstLineChars="150"/>
        <w:rPr>
          <w:rFonts w:ascii="仿宋_GB2312" w:eastAsia="仿宋_GB2312"/>
          <w:bCs/>
          <w:sz w:val="32"/>
          <w:szCs w:val="32"/>
          <w:lang w:val="zh-CN"/>
        </w:rPr>
      </w:pPr>
      <w:r>
        <w:rPr>
          <w:rFonts w:hint="eastAsia" w:ascii="仿宋_GB2312" w:eastAsia="仿宋_GB2312"/>
          <w:bCs/>
          <w:sz w:val="32"/>
          <w:szCs w:val="32"/>
          <w:lang w:val="zh-CN"/>
        </w:rPr>
        <w:t>该项目主要是</w:t>
      </w:r>
      <w:r>
        <w:rPr>
          <w:rFonts w:hint="eastAsia" w:ascii="仿宋_GB2312" w:hAnsi="仿宋" w:eastAsia="仿宋_GB2312"/>
          <w:sz w:val="32"/>
          <w:szCs w:val="32"/>
        </w:rPr>
        <w:t>根据《阿坝州人民政府常务会议议定事项通知》（十二届州人民政府第6次11号）和《阿坝州人民政府办公室办文通知》（〔2017〕4-229号）精神，</w:t>
      </w:r>
      <w:r>
        <w:rPr>
          <w:rFonts w:hint="eastAsia" w:ascii="仿宋_GB2312" w:eastAsia="仿宋_GB2312"/>
          <w:sz w:val="32"/>
          <w:szCs w:val="32"/>
        </w:rPr>
        <w:t>为深化医保扶贫，发挥大病医疗补充商业保险扶贫效益，减少贫困人口医疗费用垫付时限，</w:t>
      </w:r>
      <w:r>
        <w:rPr>
          <w:rFonts w:hint="eastAsia" w:ascii="仿宋_GB2312" w:hAnsi="仿宋" w:eastAsia="仿宋_GB2312"/>
          <w:sz w:val="32"/>
          <w:szCs w:val="32"/>
        </w:rPr>
        <w:t>促进医疗保险事业可持续发展而成立的。</w:t>
      </w:r>
      <w:r>
        <w:rPr>
          <w:rFonts w:hint="eastAsia" w:ascii="仿宋_GB2312" w:eastAsia="仿宋_GB2312"/>
          <w:bCs/>
          <w:sz w:val="32"/>
          <w:szCs w:val="32"/>
          <w:lang w:val="zh-CN"/>
        </w:rPr>
        <w:t xml:space="preserve">    项目资金申报符合政策规定。</w:t>
      </w:r>
    </w:p>
    <w:p>
      <w:pPr>
        <w:spacing w:line="560" w:lineRule="exact"/>
        <w:ind w:firstLine="640" w:firstLineChars="200"/>
        <w:rPr>
          <w:rFonts w:ascii="仿宋_GB2312" w:hAnsi="仿宋" w:eastAsia="仿宋_GB2312"/>
          <w:sz w:val="32"/>
          <w:szCs w:val="32"/>
          <w:lang w:val="zh-CN"/>
        </w:rPr>
      </w:pPr>
      <w:r>
        <w:rPr>
          <w:rFonts w:hint="eastAsia" w:ascii="仿宋_GB2312" w:eastAsia="仿宋_GB2312"/>
          <w:bCs/>
          <w:sz w:val="32"/>
          <w:szCs w:val="32"/>
        </w:rPr>
        <w:t>我局</w:t>
      </w:r>
      <w:r>
        <w:rPr>
          <w:rFonts w:hint="eastAsia" w:ascii="仿宋_GB2312" w:eastAsia="仿宋_GB2312"/>
          <w:bCs/>
          <w:sz w:val="32"/>
          <w:szCs w:val="32"/>
          <w:lang w:val="zh-CN"/>
        </w:rPr>
        <w:t>严格遵守该笔资金“专款专用”，并于2018年3月28日将该笔资金转入州财政局城乡居民医疗保险基金财政专户，</w:t>
      </w:r>
      <w:r>
        <w:rPr>
          <w:rFonts w:hint="eastAsia" w:ascii="仿宋_GB2312" w:eastAsia="仿宋_GB2312"/>
          <w:bCs/>
          <w:sz w:val="32"/>
          <w:szCs w:val="32"/>
        </w:rPr>
        <w:t>由专户支付</w:t>
      </w:r>
      <w:r>
        <w:rPr>
          <w:rFonts w:hint="eastAsia" w:ascii="仿宋_GB2312" w:eastAsia="仿宋_GB2312"/>
          <w:bCs/>
          <w:sz w:val="32"/>
          <w:szCs w:val="32"/>
          <w:lang w:val="zh-CN"/>
        </w:rPr>
        <w:t>给人保财险公司。</w:t>
      </w:r>
    </w:p>
    <w:p>
      <w:pPr>
        <w:spacing w:line="560" w:lineRule="exact"/>
        <w:ind w:left="141" w:hanging="140" w:hangingChars="44"/>
        <w:rPr>
          <w:rFonts w:ascii="仿宋_GB2312" w:eastAsia="仿宋_GB2312"/>
          <w:bCs/>
          <w:sz w:val="32"/>
          <w:szCs w:val="32"/>
          <w:lang w:val="zh-CN"/>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60" w:lineRule="exact"/>
        <w:ind w:left="-143" w:leftChars="-68" w:firstLine="640" w:firstLineChars="200"/>
        <w:rPr>
          <w:rFonts w:ascii="仿宋_GB2312" w:eastAsia="仿宋_GB2312"/>
          <w:bCs/>
          <w:sz w:val="32"/>
          <w:szCs w:val="32"/>
          <w:highlight w:val="yellow"/>
        </w:rPr>
      </w:pPr>
      <w:r>
        <w:rPr>
          <w:rFonts w:hint="eastAsia" w:ascii="仿宋_GB2312" w:eastAsia="仿宋_GB2312"/>
          <w:bCs/>
          <w:sz w:val="32"/>
          <w:szCs w:val="32"/>
          <w:lang w:val="zh-CN"/>
        </w:rPr>
        <w:t>我单位严格按照相关政策及时将城乡居民补充医疗保险保费支付给承办保险公司，异地平台结算的费用由我局代为支付给省医保局，保障了城乡居民待遇，得到城乡居民参保人员的理解和满意，</w:t>
      </w:r>
      <w:r>
        <w:rPr>
          <w:rFonts w:hint="eastAsia" w:ascii="仿宋_GB2312" w:eastAsia="仿宋_GB2312"/>
          <w:bCs/>
          <w:sz w:val="32"/>
          <w:szCs w:val="32"/>
        </w:rPr>
        <w:t>确保了项目的有效实施</w:t>
      </w:r>
      <w:r>
        <w:rPr>
          <w:rFonts w:hint="eastAsia" w:ascii="仿宋_GB2312" w:eastAsia="仿宋_GB2312"/>
          <w:bCs/>
          <w:sz w:val="32"/>
          <w:szCs w:val="32"/>
          <w:lang w:val="zh-CN"/>
        </w:rPr>
        <w:t>。</w:t>
      </w:r>
      <w:r>
        <w:rPr>
          <w:rFonts w:hint="eastAsia" w:ascii="仿宋_GB2312" w:eastAsia="仿宋_GB2312"/>
          <w:bCs/>
          <w:sz w:val="32"/>
          <w:szCs w:val="32"/>
        </w:rPr>
        <w:t>项目评价得分见下表：</w:t>
      </w:r>
    </w:p>
    <w:tbl>
      <w:tblPr>
        <w:tblStyle w:val="13"/>
        <w:tblpPr w:leftFromText="180" w:rightFromText="180" w:vertAnchor="text" w:horzAnchor="page" w:tblpX="1650" w:tblpY="753"/>
        <w:tblOverlap w:val="never"/>
        <w:tblW w:w="8800" w:type="dxa"/>
        <w:tblInd w:w="0" w:type="dxa"/>
        <w:tblLayout w:type="fixed"/>
        <w:tblCellMar>
          <w:top w:w="0" w:type="dxa"/>
          <w:left w:w="108" w:type="dxa"/>
          <w:bottom w:w="0" w:type="dxa"/>
          <w:right w:w="108" w:type="dxa"/>
        </w:tblCellMar>
      </w:tblPr>
      <w:tblGrid>
        <w:gridCol w:w="700"/>
        <w:gridCol w:w="990"/>
        <w:gridCol w:w="1365"/>
        <w:gridCol w:w="555"/>
        <w:gridCol w:w="4575"/>
        <w:gridCol w:w="615"/>
      </w:tblGrid>
      <w:tr>
        <w:tblPrEx>
          <w:tblLayout w:type="fixed"/>
          <w:tblCellMar>
            <w:top w:w="0" w:type="dxa"/>
            <w:left w:w="108" w:type="dxa"/>
            <w:bottom w:w="0" w:type="dxa"/>
            <w:right w:w="108" w:type="dxa"/>
          </w:tblCellMar>
        </w:tblPrEx>
        <w:trPr>
          <w:trHeight w:val="420" w:hRule="atLeast"/>
        </w:trPr>
        <w:tc>
          <w:tcPr>
            <w:tcW w:w="7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b/>
                <w:bCs/>
                <w:kern w:val="0"/>
                <w:sz w:val="20"/>
                <w:szCs w:val="20"/>
              </w:rPr>
            </w:pPr>
            <w:r>
              <w:rPr>
                <w:rFonts w:hint="eastAsia" w:asciiTheme="minorEastAsia" w:hAnsiTheme="minorEastAsia" w:cstheme="minorEastAsia"/>
                <w:b/>
                <w:bCs/>
                <w:kern w:val="0"/>
                <w:sz w:val="20"/>
                <w:szCs w:val="20"/>
              </w:rPr>
              <w:t>一级指标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b/>
                <w:bCs/>
                <w:kern w:val="0"/>
                <w:sz w:val="20"/>
                <w:szCs w:val="20"/>
              </w:rPr>
            </w:pPr>
            <w:r>
              <w:rPr>
                <w:rFonts w:hint="eastAsia" w:asciiTheme="minorEastAsia" w:hAnsiTheme="minorEastAsia" w:cstheme="minorEastAsia"/>
                <w:b/>
                <w:bCs/>
                <w:kern w:val="0"/>
                <w:sz w:val="20"/>
                <w:szCs w:val="20"/>
              </w:rPr>
              <w:t>二级指标</w:t>
            </w:r>
          </w:p>
        </w:tc>
        <w:tc>
          <w:tcPr>
            <w:tcW w:w="1365"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b/>
                <w:bCs/>
                <w:kern w:val="0"/>
                <w:sz w:val="20"/>
                <w:szCs w:val="20"/>
              </w:rPr>
            </w:pPr>
            <w:r>
              <w:rPr>
                <w:rFonts w:hint="eastAsia" w:asciiTheme="minorEastAsia" w:hAnsiTheme="minorEastAsia" w:cstheme="minorEastAsia"/>
                <w:b/>
                <w:bCs/>
                <w:kern w:val="0"/>
                <w:sz w:val="20"/>
                <w:szCs w:val="20"/>
              </w:rPr>
              <w:t>三级指标</w:t>
            </w:r>
          </w:p>
        </w:tc>
        <w:tc>
          <w:tcPr>
            <w:tcW w:w="555"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b/>
                <w:bCs/>
                <w:kern w:val="0"/>
                <w:sz w:val="20"/>
                <w:szCs w:val="20"/>
              </w:rPr>
            </w:pPr>
            <w:r>
              <w:rPr>
                <w:rFonts w:hint="eastAsia" w:asciiTheme="minorEastAsia" w:hAnsiTheme="minorEastAsia" w:cstheme="minorEastAsia"/>
                <w:b/>
                <w:bCs/>
                <w:kern w:val="0"/>
                <w:sz w:val="20"/>
                <w:szCs w:val="20"/>
              </w:rPr>
              <w:t>分值</w:t>
            </w:r>
          </w:p>
        </w:tc>
        <w:tc>
          <w:tcPr>
            <w:tcW w:w="4575"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b/>
                <w:bCs/>
                <w:kern w:val="0"/>
                <w:sz w:val="20"/>
                <w:szCs w:val="20"/>
              </w:rPr>
            </w:pPr>
            <w:r>
              <w:rPr>
                <w:rFonts w:hint="eastAsia" w:asciiTheme="minorEastAsia" w:hAnsiTheme="minorEastAsia" w:cstheme="minorEastAsia"/>
                <w:b/>
                <w:bCs/>
                <w:kern w:val="0"/>
                <w:sz w:val="20"/>
                <w:szCs w:val="20"/>
              </w:rPr>
              <w:t>指标评价内容（公式计算结果=x）</w:t>
            </w:r>
          </w:p>
        </w:tc>
        <w:tc>
          <w:tcPr>
            <w:tcW w:w="615"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b/>
                <w:bCs/>
                <w:kern w:val="0"/>
                <w:sz w:val="20"/>
                <w:szCs w:val="20"/>
              </w:rPr>
            </w:pPr>
            <w:r>
              <w:rPr>
                <w:rFonts w:hint="eastAsia" w:asciiTheme="minorEastAsia" w:hAnsiTheme="minorEastAsia" w:cstheme="minorEastAsia"/>
                <w:b/>
                <w:bCs/>
                <w:kern w:val="0"/>
                <w:sz w:val="20"/>
                <w:szCs w:val="20"/>
              </w:rPr>
              <w:t>得分</w:t>
            </w:r>
          </w:p>
        </w:tc>
      </w:tr>
      <w:tr>
        <w:tblPrEx>
          <w:tblLayout w:type="fixed"/>
          <w:tblCellMar>
            <w:top w:w="0" w:type="dxa"/>
            <w:left w:w="108" w:type="dxa"/>
            <w:bottom w:w="0" w:type="dxa"/>
            <w:right w:w="108" w:type="dxa"/>
          </w:tblCellMar>
        </w:tblPrEx>
        <w:trPr>
          <w:trHeight w:val="480" w:hRule="atLeast"/>
        </w:trPr>
        <w:tc>
          <w:tcPr>
            <w:tcW w:w="700" w:type="dxa"/>
            <w:vMerge w:val="restart"/>
            <w:tcBorders>
              <w:top w:val="nil"/>
              <w:left w:val="single" w:color="auto" w:sz="4" w:space="0"/>
              <w:bottom w:val="single" w:color="000000"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项目决策（20分）</w:t>
            </w:r>
          </w:p>
        </w:tc>
        <w:tc>
          <w:tcPr>
            <w:tcW w:w="99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科学决策（10份）</w:t>
            </w:r>
          </w:p>
        </w:tc>
        <w:tc>
          <w:tcPr>
            <w:tcW w:w="1365" w:type="dxa"/>
            <w:tcBorders>
              <w:top w:val="nil"/>
              <w:left w:val="nil"/>
              <w:bottom w:val="single" w:color="auto" w:sz="4" w:space="0"/>
              <w:right w:val="single" w:color="auto" w:sz="4" w:space="0"/>
            </w:tcBorders>
            <w:vAlign w:val="center"/>
          </w:tcPr>
          <w:p>
            <w:pPr>
              <w:widowControl/>
              <w:ind w:firstLine="180" w:firstLineChars="100"/>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必要性</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（政策依据）</w:t>
            </w:r>
          </w:p>
        </w:tc>
        <w:tc>
          <w:tcPr>
            <w:tcW w:w="55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457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项目符合中省州决策部署；符合当前经济社会发展需要，政策和实际需求的吻合程度分析</w:t>
            </w:r>
          </w:p>
        </w:tc>
        <w:tc>
          <w:tcPr>
            <w:tcW w:w="615" w:type="dxa"/>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r>
      <w:tr>
        <w:tblPrEx>
          <w:tblLayout w:type="fixed"/>
          <w:tblCellMar>
            <w:top w:w="0" w:type="dxa"/>
            <w:left w:w="108" w:type="dxa"/>
            <w:bottom w:w="0" w:type="dxa"/>
            <w:right w:w="108" w:type="dxa"/>
          </w:tblCellMar>
        </w:tblPrEx>
        <w:trPr>
          <w:trHeight w:val="609"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1365" w:type="dxa"/>
            <w:tcBorders>
              <w:top w:val="nil"/>
              <w:left w:val="nil"/>
              <w:bottom w:val="single" w:color="auto" w:sz="4" w:space="0"/>
              <w:right w:val="single" w:color="auto" w:sz="4" w:space="0"/>
            </w:tcBorders>
            <w:vAlign w:val="center"/>
          </w:tcPr>
          <w:p>
            <w:pPr>
              <w:widowControl/>
              <w:ind w:firstLine="180" w:firstLineChars="100"/>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可行性</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（政策完善）</w:t>
            </w:r>
          </w:p>
        </w:tc>
        <w:tc>
          <w:tcPr>
            <w:tcW w:w="55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457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可行性论证充分，规划、管理办法、指导意见是否健全完善</w:t>
            </w:r>
          </w:p>
        </w:tc>
        <w:tc>
          <w:tcPr>
            <w:tcW w:w="615" w:type="dxa"/>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r>
      <w:tr>
        <w:tblPrEx>
          <w:tblLayout w:type="fixed"/>
          <w:tblCellMar>
            <w:top w:w="0" w:type="dxa"/>
            <w:left w:w="108" w:type="dxa"/>
            <w:bottom w:w="0" w:type="dxa"/>
            <w:right w:w="108" w:type="dxa"/>
          </w:tblCellMar>
        </w:tblPrEx>
        <w:trPr>
          <w:trHeight w:val="48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99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绩效目标（5分）</w:t>
            </w:r>
          </w:p>
        </w:tc>
        <w:tc>
          <w:tcPr>
            <w:tcW w:w="1365" w:type="dxa"/>
            <w:tcBorders>
              <w:top w:val="nil"/>
              <w:left w:val="nil"/>
              <w:bottom w:val="single" w:color="auto" w:sz="4" w:space="0"/>
              <w:right w:val="single" w:color="auto" w:sz="4" w:space="0"/>
            </w:tcBorders>
            <w:vAlign w:val="center"/>
          </w:tcPr>
          <w:p>
            <w:pPr>
              <w:widowControl/>
              <w:ind w:firstLine="180" w:firstLineChars="100"/>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明确性</w:t>
            </w:r>
          </w:p>
        </w:tc>
        <w:tc>
          <w:tcPr>
            <w:tcW w:w="55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457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项目预期提供的产品、服务、效益或其他目标明确细化，可衡量</w:t>
            </w:r>
          </w:p>
        </w:tc>
        <w:tc>
          <w:tcPr>
            <w:tcW w:w="615" w:type="dxa"/>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r>
      <w:tr>
        <w:tblPrEx>
          <w:tblLayout w:type="fixed"/>
          <w:tblCellMar>
            <w:top w:w="0" w:type="dxa"/>
            <w:left w:w="108" w:type="dxa"/>
            <w:bottom w:w="0" w:type="dxa"/>
            <w:right w:w="108" w:type="dxa"/>
          </w:tblCellMar>
        </w:tblPrEx>
        <w:trPr>
          <w:trHeight w:val="42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1365" w:type="dxa"/>
            <w:tcBorders>
              <w:top w:val="nil"/>
              <w:left w:val="nil"/>
              <w:bottom w:val="single" w:color="auto" w:sz="4" w:space="0"/>
              <w:right w:val="single" w:color="auto" w:sz="4" w:space="0"/>
            </w:tcBorders>
            <w:vAlign w:val="center"/>
          </w:tcPr>
          <w:p>
            <w:pPr>
              <w:widowControl/>
              <w:ind w:firstLine="180" w:firstLineChars="100"/>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合理性</w:t>
            </w:r>
          </w:p>
        </w:tc>
        <w:tc>
          <w:tcPr>
            <w:tcW w:w="55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457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绩效目标设定符合实际需求，合理可行</w:t>
            </w:r>
          </w:p>
        </w:tc>
        <w:tc>
          <w:tcPr>
            <w:tcW w:w="615" w:type="dxa"/>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r>
      <w:tr>
        <w:tblPrEx>
          <w:tblLayout w:type="fixed"/>
          <w:tblCellMar>
            <w:top w:w="0" w:type="dxa"/>
            <w:left w:w="108" w:type="dxa"/>
            <w:bottom w:w="0" w:type="dxa"/>
            <w:right w:w="108" w:type="dxa"/>
          </w:tblCellMar>
        </w:tblPrEx>
        <w:trPr>
          <w:trHeight w:val="420" w:hRule="atLeast"/>
        </w:trPr>
        <w:tc>
          <w:tcPr>
            <w:tcW w:w="700" w:type="dxa"/>
            <w:vMerge w:val="restart"/>
            <w:tcBorders>
              <w:top w:val="nil"/>
              <w:left w:val="single" w:color="auto" w:sz="4" w:space="0"/>
              <w:bottom w:val="single" w:color="000000"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项目管理（10分）</w:t>
            </w:r>
          </w:p>
        </w:tc>
        <w:tc>
          <w:tcPr>
            <w:tcW w:w="990" w:type="dxa"/>
            <w:vMerge w:val="restart"/>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资金管理</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（7分）</w:t>
            </w:r>
          </w:p>
        </w:tc>
        <w:tc>
          <w:tcPr>
            <w:tcW w:w="1365" w:type="dxa"/>
            <w:tcBorders>
              <w:top w:val="nil"/>
              <w:left w:val="nil"/>
              <w:bottom w:val="single" w:color="auto" w:sz="4" w:space="0"/>
              <w:right w:val="single" w:color="auto" w:sz="4" w:space="0"/>
            </w:tcBorders>
            <w:vAlign w:val="center"/>
          </w:tcPr>
          <w:p>
            <w:pPr>
              <w:widowControl/>
              <w:ind w:firstLine="180" w:firstLineChars="100"/>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资金分配</w:t>
            </w:r>
          </w:p>
        </w:tc>
        <w:tc>
          <w:tcPr>
            <w:tcW w:w="55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457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资金分配是否科学合理、规范有序；是否体现突出重点或公平性，符合财政资金改革方向</w:t>
            </w:r>
          </w:p>
        </w:tc>
        <w:tc>
          <w:tcPr>
            <w:tcW w:w="615" w:type="dxa"/>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r>
      <w:tr>
        <w:tblPrEx>
          <w:tblLayout w:type="fixed"/>
          <w:tblCellMar>
            <w:top w:w="0" w:type="dxa"/>
            <w:left w:w="108" w:type="dxa"/>
            <w:bottom w:w="0" w:type="dxa"/>
            <w:right w:w="108" w:type="dxa"/>
          </w:tblCellMar>
        </w:tblPrEx>
        <w:trPr>
          <w:trHeight w:val="480" w:hRule="atLeast"/>
        </w:trPr>
        <w:tc>
          <w:tcPr>
            <w:tcW w:w="700" w:type="dxa"/>
            <w:vMerge w:val="continue"/>
            <w:tcBorders>
              <w:top w:val="nil"/>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990"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1365" w:type="dxa"/>
            <w:tcBorders>
              <w:top w:val="nil"/>
              <w:left w:val="nil"/>
              <w:bottom w:val="single" w:color="auto" w:sz="4" w:space="0"/>
              <w:right w:val="single" w:color="auto" w:sz="4" w:space="0"/>
            </w:tcBorders>
            <w:vAlign w:val="center"/>
          </w:tcPr>
          <w:p>
            <w:pPr>
              <w:widowControl/>
              <w:ind w:firstLine="180" w:firstLineChars="100"/>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资金使用</w:t>
            </w:r>
          </w:p>
        </w:tc>
        <w:tc>
          <w:tcPr>
            <w:tcW w:w="55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c>
          <w:tcPr>
            <w:tcW w:w="457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资金使用规范</w:t>
            </w:r>
          </w:p>
        </w:tc>
        <w:tc>
          <w:tcPr>
            <w:tcW w:w="615" w:type="dxa"/>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4</w:t>
            </w:r>
          </w:p>
        </w:tc>
      </w:tr>
      <w:tr>
        <w:tblPrEx>
          <w:tblLayout w:type="fixed"/>
          <w:tblCellMar>
            <w:top w:w="0" w:type="dxa"/>
            <w:left w:w="108" w:type="dxa"/>
            <w:bottom w:w="0" w:type="dxa"/>
            <w:right w:w="108" w:type="dxa"/>
          </w:tblCellMar>
        </w:tblPrEx>
        <w:trPr>
          <w:trHeight w:val="420" w:hRule="atLeast"/>
        </w:trPr>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990"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项目执行</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（3分）</w:t>
            </w:r>
          </w:p>
        </w:tc>
        <w:tc>
          <w:tcPr>
            <w:tcW w:w="1365" w:type="dxa"/>
            <w:tcBorders>
              <w:top w:val="nil"/>
              <w:left w:val="nil"/>
              <w:bottom w:val="single" w:color="auto" w:sz="4" w:space="0"/>
              <w:right w:val="single" w:color="auto" w:sz="4" w:space="0"/>
            </w:tcBorders>
            <w:vAlign w:val="center"/>
          </w:tcPr>
          <w:p>
            <w:pPr>
              <w:widowControl/>
              <w:ind w:firstLine="180" w:firstLineChars="100"/>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执行规范</w:t>
            </w:r>
          </w:p>
        </w:tc>
        <w:tc>
          <w:tcPr>
            <w:tcW w:w="55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c>
          <w:tcPr>
            <w:tcW w:w="4575" w:type="dxa"/>
            <w:tcBorders>
              <w:top w:val="nil"/>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管理制度健全，管理过程科学规范</w:t>
            </w:r>
          </w:p>
        </w:tc>
        <w:tc>
          <w:tcPr>
            <w:tcW w:w="615" w:type="dxa"/>
            <w:tcBorders>
              <w:top w:val="nil"/>
              <w:left w:val="nil"/>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3</w:t>
            </w:r>
          </w:p>
        </w:tc>
      </w:tr>
      <w:tr>
        <w:tblPrEx>
          <w:tblLayout w:type="fixed"/>
          <w:tblCellMar>
            <w:top w:w="0" w:type="dxa"/>
            <w:left w:w="108" w:type="dxa"/>
            <w:bottom w:w="0" w:type="dxa"/>
            <w:right w:w="108" w:type="dxa"/>
          </w:tblCellMar>
        </w:tblPrEx>
        <w:trPr>
          <w:trHeight w:val="90" w:hRule="atLeast"/>
        </w:trPr>
        <w:tc>
          <w:tcPr>
            <w:tcW w:w="700" w:type="dxa"/>
            <w:vMerge w:val="restart"/>
            <w:tcBorders>
              <w:top w:val="single" w:color="auto" w:sz="4" w:space="0"/>
              <w:left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项目绩效（特性指标70份）</w:t>
            </w:r>
          </w:p>
        </w:tc>
        <w:tc>
          <w:tcPr>
            <w:tcW w:w="99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项目完成（20分）</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完成数量</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457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实际完成数量/绩效目标设定任务量X100%</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r>
      <w:tr>
        <w:tblPrEx>
          <w:tblLayout w:type="fixed"/>
          <w:tblCellMar>
            <w:top w:w="0" w:type="dxa"/>
            <w:left w:w="108" w:type="dxa"/>
            <w:bottom w:w="0" w:type="dxa"/>
            <w:right w:w="108" w:type="dxa"/>
          </w:tblCellMar>
        </w:tblPrEx>
        <w:trPr>
          <w:trHeight w:val="480" w:hRule="atLeast"/>
        </w:trPr>
        <w:tc>
          <w:tcPr>
            <w:tcW w:w="700"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1365"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完成质量</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457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符合绩效目标设定的验收标准，达到行业基准水平</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r>
      <w:tr>
        <w:tblPrEx>
          <w:tblLayout w:type="fixed"/>
          <w:tblCellMar>
            <w:top w:w="0" w:type="dxa"/>
            <w:left w:w="108" w:type="dxa"/>
            <w:bottom w:w="0" w:type="dxa"/>
            <w:right w:w="108" w:type="dxa"/>
          </w:tblCellMar>
        </w:tblPrEx>
        <w:trPr>
          <w:trHeight w:val="480" w:hRule="atLeast"/>
        </w:trPr>
        <w:tc>
          <w:tcPr>
            <w:tcW w:w="700"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1365"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完成时效</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457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（实际完成时间-绩效目标设定完成时间）/绩效目标设定完成时间X100%</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r>
      <w:tr>
        <w:tblPrEx>
          <w:tblLayout w:type="fixed"/>
          <w:tblCellMar>
            <w:top w:w="0" w:type="dxa"/>
            <w:left w:w="108" w:type="dxa"/>
            <w:bottom w:w="0" w:type="dxa"/>
            <w:right w:w="108" w:type="dxa"/>
          </w:tblCellMar>
        </w:tblPrEx>
        <w:trPr>
          <w:trHeight w:val="559" w:hRule="atLeast"/>
        </w:trPr>
        <w:tc>
          <w:tcPr>
            <w:tcW w:w="700"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9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1365"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完成成本</w:t>
            </w:r>
          </w:p>
        </w:tc>
        <w:tc>
          <w:tcPr>
            <w:tcW w:w="55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c>
          <w:tcPr>
            <w:tcW w:w="457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（实际完成成本-预计完成成本）/预计完成成本X100%</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990" w:type="dxa"/>
            <w:vMerge w:val="restart"/>
            <w:tcBorders>
              <w:top w:val="single" w:color="auto" w:sz="4" w:space="0"/>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项目效益（50份）</w:t>
            </w:r>
          </w:p>
        </w:tc>
        <w:tc>
          <w:tcPr>
            <w:tcW w:w="1365"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经济效益</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（可选项）</w:t>
            </w:r>
          </w:p>
        </w:tc>
        <w:tc>
          <w:tcPr>
            <w:tcW w:w="555" w:type="dxa"/>
            <w:vMerge w:val="restart"/>
            <w:tcBorders>
              <w:top w:val="single" w:color="auto" w:sz="4" w:space="0"/>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40</w:t>
            </w:r>
          </w:p>
        </w:tc>
        <w:tc>
          <w:tcPr>
            <w:tcW w:w="457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适用于经济发展类目。反映相关产出对经济社会发展带来的影响和效果，根据项目实际细化具体指标。重点考核投入产出率、回报率、增长率等指标</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r>
      <w:tr>
        <w:tblPrEx>
          <w:tblLayout w:type="fixed"/>
          <w:tblCellMar>
            <w:top w:w="0" w:type="dxa"/>
            <w:left w:w="108" w:type="dxa"/>
            <w:bottom w:w="0" w:type="dxa"/>
            <w:right w:w="108" w:type="dxa"/>
          </w:tblCellMar>
        </w:tblPrEx>
        <w:trPr>
          <w:trHeight w:val="645" w:hRule="atLeast"/>
        </w:trPr>
        <w:tc>
          <w:tcPr>
            <w:tcW w:w="700"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990"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社会效益（可选项）</w:t>
            </w:r>
          </w:p>
        </w:tc>
        <w:tc>
          <w:tcPr>
            <w:tcW w:w="555"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457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反映相关产出对社会发展带来的影响和效果，根据项目实际细化具体指标。重点考核撬动率、贡献率、达标率、就业率等指标</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10</w:t>
            </w: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990"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1365" w:type="dxa"/>
            <w:tcBorders>
              <w:top w:val="single" w:color="auto" w:sz="4" w:space="0"/>
              <w:left w:val="single" w:color="auto" w:sz="4" w:space="0"/>
              <w:bottom w:val="single" w:color="auto" w:sz="4" w:space="0"/>
              <w:right w:val="single" w:color="auto" w:sz="4" w:space="0"/>
            </w:tcBorders>
            <w:vAlign w:val="center"/>
          </w:tcPr>
          <w:p>
            <w:pPr>
              <w:widowControl/>
              <w:ind w:firstLine="180" w:firstLineChars="100"/>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生态效益</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（可选项）</w:t>
            </w:r>
          </w:p>
        </w:tc>
        <w:tc>
          <w:tcPr>
            <w:tcW w:w="555"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457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反映相关产出对自然发展带来的影响和效果，根据项目实际细化具体指标。</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990" w:type="dxa"/>
            <w:vMerge w:val="continue"/>
            <w:tcBorders>
              <w:left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可持续效益（可选项）</w:t>
            </w:r>
          </w:p>
        </w:tc>
        <w:tc>
          <w:tcPr>
            <w:tcW w:w="555"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457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反映相关产出带来影响的可持续期限，根据项目实际细化具体指标</w:t>
            </w:r>
          </w:p>
        </w:tc>
        <w:tc>
          <w:tcPr>
            <w:tcW w:w="615" w:type="dxa"/>
            <w:tcBorders>
              <w:top w:val="single" w:color="auto" w:sz="4" w:space="0"/>
              <w:left w:val="single" w:color="auto" w:sz="4" w:space="0"/>
              <w:bottom w:val="single" w:color="auto" w:sz="4" w:space="0"/>
              <w:right w:val="single" w:color="auto" w:sz="4" w:space="0"/>
            </w:tcBorders>
            <w:vAlign w:val="center"/>
          </w:tcPr>
          <w:p>
            <w:pPr>
              <w:widowControl/>
              <w:rPr>
                <w:rFonts w:asciiTheme="minorEastAsia" w:hAnsiTheme="minorEastAsia" w:cstheme="minorEastAsia"/>
                <w:kern w:val="0"/>
                <w:sz w:val="18"/>
                <w:szCs w:val="18"/>
              </w:rPr>
            </w:pPr>
            <w:r>
              <w:rPr>
                <w:rFonts w:hint="eastAsia" w:asciiTheme="minorEastAsia" w:hAnsiTheme="minorEastAsia" w:cstheme="minorEastAsia"/>
                <w:kern w:val="0"/>
                <w:sz w:val="18"/>
                <w:szCs w:val="18"/>
              </w:rPr>
              <w:t xml:space="preserve">  5</w:t>
            </w: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990"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公平效益</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（可选项）</w:t>
            </w:r>
          </w:p>
        </w:tc>
        <w:tc>
          <w:tcPr>
            <w:tcW w:w="555"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457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主要反映资金使用者是否获得公平竞争的机会，以及民生类项目中受益群体是否应覆盖全覆盖，覆盖率是衡量指标。重点考核覆盖率、知晓率等指标</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10</w:t>
            </w:r>
          </w:p>
        </w:tc>
      </w:tr>
      <w:tr>
        <w:tblPrEx>
          <w:tblLayout w:type="fixed"/>
          <w:tblCellMar>
            <w:top w:w="0" w:type="dxa"/>
            <w:left w:w="108" w:type="dxa"/>
            <w:bottom w:w="0" w:type="dxa"/>
            <w:right w:w="108" w:type="dxa"/>
          </w:tblCellMar>
        </w:tblPrEx>
        <w:trPr>
          <w:trHeight w:val="400" w:hRule="atLeast"/>
        </w:trPr>
        <w:tc>
          <w:tcPr>
            <w:tcW w:w="700"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990" w:type="dxa"/>
            <w:vMerge w:val="continue"/>
            <w:tcBorders>
              <w:left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136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使用效率</w:t>
            </w:r>
          </w:p>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（可选项）</w:t>
            </w:r>
          </w:p>
        </w:tc>
        <w:tc>
          <w:tcPr>
            <w:tcW w:w="555" w:type="dxa"/>
            <w:vMerge w:val="continue"/>
            <w:tcBorders>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4575" w:type="dxa"/>
            <w:tcBorders>
              <w:top w:val="single" w:color="auto" w:sz="4" w:space="0"/>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重点考核使用率等指标</w:t>
            </w:r>
          </w:p>
        </w:tc>
        <w:tc>
          <w:tcPr>
            <w:tcW w:w="6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5</w:t>
            </w:r>
          </w:p>
        </w:tc>
      </w:tr>
      <w:tr>
        <w:tblPrEx>
          <w:tblLayout w:type="fixed"/>
          <w:tblCellMar>
            <w:top w:w="0" w:type="dxa"/>
            <w:left w:w="108" w:type="dxa"/>
            <w:bottom w:w="0" w:type="dxa"/>
            <w:right w:w="108" w:type="dxa"/>
          </w:tblCellMar>
        </w:tblPrEx>
        <w:trPr>
          <w:trHeight w:val="720" w:hRule="atLeast"/>
        </w:trPr>
        <w:tc>
          <w:tcPr>
            <w:tcW w:w="700" w:type="dxa"/>
            <w:vMerge w:val="continue"/>
            <w:tcBorders>
              <w:left w:val="single" w:color="auto" w:sz="4" w:space="0"/>
              <w:bottom w:val="single" w:color="000000"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990" w:type="dxa"/>
            <w:vMerge w:val="continue"/>
            <w:tcBorders>
              <w:left w:val="single" w:color="auto" w:sz="4" w:space="0"/>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p>
        </w:tc>
        <w:tc>
          <w:tcPr>
            <w:tcW w:w="1365"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服务对象满意度</w:t>
            </w:r>
          </w:p>
        </w:tc>
        <w:tc>
          <w:tcPr>
            <w:tcW w:w="555"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10</w:t>
            </w:r>
          </w:p>
        </w:tc>
        <w:tc>
          <w:tcPr>
            <w:tcW w:w="4575" w:type="dxa"/>
            <w:tcBorders>
              <w:top w:val="single" w:color="auto" w:sz="4" w:space="0"/>
              <w:left w:val="nil"/>
              <w:bottom w:val="single" w:color="auto" w:sz="4" w:space="0"/>
              <w:right w:val="single" w:color="auto" w:sz="4" w:space="0"/>
            </w:tcBorders>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适用于民生类项目。满意率反映服务对象或项目受益人对相关产出及其影响的认可程度，根据项目实际细化具体指标。重点考核满意率等指标</w:t>
            </w:r>
          </w:p>
        </w:tc>
        <w:tc>
          <w:tcPr>
            <w:tcW w:w="615" w:type="dxa"/>
            <w:tcBorders>
              <w:top w:val="single" w:color="auto" w:sz="4" w:space="0"/>
              <w:left w:val="nil"/>
              <w:bottom w:val="single" w:color="auto" w:sz="4" w:space="0"/>
              <w:right w:val="single" w:color="auto" w:sz="4" w:space="0"/>
            </w:tcBorders>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9</w:t>
            </w:r>
          </w:p>
        </w:tc>
      </w:tr>
    </w:tbl>
    <w:p>
      <w:pPr>
        <w:spacing w:line="560" w:lineRule="exact"/>
        <w:ind w:left="-143" w:leftChars="-68" w:firstLine="640" w:firstLineChars="200"/>
        <w:rPr>
          <w:rFonts w:ascii="仿宋_GB2312" w:eastAsia="仿宋_GB2312"/>
          <w:bCs/>
          <w:sz w:val="32"/>
          <w:szCs w:val="32"/>
          <w:highlight w:val="yellow"/>
        </w:rPr>
      </w:pP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建档立卡贫困人口大病医疗补充商业保险以新明确的健康扶贫医疗保障范围，按照《阿坝州人民政府办公室关于印发〈阿坝州建档立卡贫困人口大病医疗补充商业保险实施方案〉的通知》（阿府办发〔2016〕39号）规定（建档立卡贫困人员参加大病补充医疗商业保险的费用标准为135元／人.年，由政府补助90%，所需资金按州、县（市）和卧龙特别行政区5∶5的比例分担；个人自筹10%）筹集资金。</w:t>
      </w:r>
    </w:p>
    <w:p>
      <w:pPr>
        <w:spacing w:line="560" w:lineRule="exact"/>
        <w:ind w:left="141" w:leftChars="67" w:firstLine="480" w:firstLineChars="150"/>
        <w:rPr>
          <w:rFonts w:ascii="仿宋_GB2312" w:eastAsia="仿宋_GB2312"/>
          <w:sz w:val="32"/>
          <w:szCs w:val="32"/>
        </w:rPr>
      </w:pPr>
      <w:r>
        <w:rPr>
          <w:rFonts w:hint="eastAsia" w:ascii="仿宋_GB2312" w:eastAsia="仿宋_GB2312"/>
          <w:bCs/>
          <w:sz w:val="32"/>
          <w:szCs w:val="32"/>
          <w:lang w:val="zh-CN"/>
        </w:rPr>
        <w:t>该项目主要是</w:t>
      </w:r>
      <w:r>
        <w:rPr>
          <w:rFonts w:hint="eastAsia" w:ascii="仿宋_GB2312" w:hAnsi="仿宋" w:eastAsia="仿宋_GB2312"/>
          <w:sz w:val="32"/>
          <w:szCs w:val="32"/>
        </w:rPr>
        <w:t>根据《阿坝州人民政府常务会议议定事项通知》（十二届州人民政府第6次11号）和《阿坝州人民政府办公室办文通知》（〔2017〕4-229号）精神，</w:t>
      </w:r>
      <w:r>
        <w:rPr>
          <w:rFonts w:hint="eastAsia" w:ascii="仿宋_GB2312" w:eastAsia="仿宋_GB2312"/>
          <w:sz w:val="32"/>
          <w:szCs w:val="32"/>
        </w:rPr>
        <w:t>为深化医保扶贫，发挥大病医疗补充商业保险扶贫效益，减少贫困人口医疗费用垫付时限，</w:t>
      </w:r>
      <w:r>
        <w:rPr>
          <w:rFonts w:hint="eastAsia" w:ascii="仿宋_GB2312" w:hAnsi="仿宋" w:eastAsia="仿宋_GB2312"/>
          <w:sz w:val="32"/>
          <w:szCs w:val="32"/>
        </w:rPr>
        <w:t>促进医疗保险事业可持续发展而成立的。</w:t>
      </w:r>
      <w:r>
        <w:rPr>
          <w:rFonts w:hint="eastAsia" w:ascii="仿宋_GB2312" w:eastAsia="仿宋_GB2312"/>
          <w:bCs/>
          <w:sz w:val="32"/>
          <w:szCs w:val="32"/>
          <w:lang w:val="zh-CN"/>
        </w:rPr>
        <w:t xml:space="preserve"> 项目资金申报符合政策规定。</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60" w:lineRule="exact"/>
        <w:ind w:firstLine="640" w:firstLineChars="200"/>
        <w:rPr>
          <w:rFonts w:ascii="仿宋_GB2312" w:eastAsia="仿宋_GB2312"/>
          <w:bCs/>
          <w:sz w:val="32"/>
          <w:szCs w:val="32"/>
          <w:lang w:val="zh-CN"/>
        </w:rPr>
      </w:pPr>
      <w:r>
        <w:rPr>
          <w:rFonts w:hint="eastAsia" w:ascii="仿宋_GB2312" w:eastAsia="仿宋_GB2312"/>
          <w:bCs/>
          <w:sz w:val="32"/>
          <w:szCs w:val="32"/>
          <w:lang w:val="zh-CN"/>
        </w:rPr>
        <w:t>根据</w:t>
      </w:r>
      <w:r>
        <w:rPr>
          <w:rFonts w:hint="eastAsia" w:ascii="仿宋_GB2312" w:hAnsi="仿宋" w:eastAsia="仿宋_GB2312"/>
          <w:sz w:val="32"/>
          <w:szCs w:val="32"/>
        </w:rPr>
        <w:t>《阿坝州财政局 阿坝州扶贫移民局关于下达2018年州级财政专项扶贫资金的通知》（〔2018〕9号）号文件规定，财政局安排2018年建档立卡贫困人员大病补充商业保险州级配套资金629.3万元，年初财政拨款结转2.16万元。</w:t>
      </w:r>
    </w:p>
    <w:p>
      <w:pPr>
        <w:spacing w:line="560" w:lineRule="exact"/>
        <w:ind w:left="141" w:leftChars="67" w:firstLine="480" w:firstLineChars="150"/>
        <w:rPr>
          <w:rFonts w:ascii="仿宋_GB2312" w:eastAsia="仿宋_GB2312"/>
          <w:bCs/>
          <w:sz w:val="32"/>
          <w:szCs w:val="32"/>
          <w:lang w:val="zh-CN"/>
        </w:rPr>
      </w:pPr>
      <w:r>
        <w:rPr>
          <w:rFonts w:hint="eastAsia" w:ascii="仿宋_GB2312" w:eastAsia="仿宋_GB2312"/>
          <w:bCs/>
          <w:sz w:val="32"/>
          <w:szCs w:val="32"/>
        </w:rPr>
        <w:t>由基本户划转至基金专户（</w:t>
      </w:r>
      <w:r>
        <w:rPr>
          <w:rFonts w:hint="eastAsia" w:ascii="仿宋_GB2312" w:eastAsia="仿宋_GB2312"/>
          <w:bCs/>
          <w:sz w:val="32"/>
          <w:szCs w:val="32"/>
          <w:lang w:val="zh-CN"/>
        </w:rPr>
        <w:t>城乡居民医保基金），严格按照“分账核算”，建档立卡大病补充商业保险转入财政专户后，列为“暂收款”，支出后，冲减暂收款。</w:t>
      </w:r>
    </w:p>
    <w:p>
      <w:pPr>
        <w:spacing w:line="560" w:lineRule="exact"/>
        <w:ind w:firstLine="640" w:firstLineChars="200"/>
        <w:rPr>
          <w:rFonts w:ascii="仿宋_GB2312" w:eastAsia="仿宋_GB2312"/>
          <w:bCs/>
          <w:sz w:val="32"/>
          <w:szCs w:val="32"/>
          <w:lang w:val="zh-CN"/>
        </w:rPr>
      </w:pPr>
      <w:r>
        <w:rPr>
          <w:rFonts w:hint="eastAsia" w:ascii="仿宋_GB2312" w:eastAsia="仿宋_GB2312"/>
          <w:bCs/>
          <w:sz w:val="32"/>
          <w:szCs w:val="32"/>
          <w:lang w:val="zh-CN"/>
        </w:rPr>
        <w:t>严格遵守该笔资金“专款专用”，并于2018年3月28日将该笔资金转入州财政局城乡居民医疗保险基金财政专户，列为“暂收款”，3月28日将该笔资金作为我州城乡居民建档立卡贫困人员大病补充商业保险第一笔保费支付给人保财险公司。</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hint="eastAsia" w:ascii="仿宋_GB2312" w:eastAsia="仿宋_GB2312"/>
          <w:bCs/>
          <w:sz w:val="32"/>
          <w:szCs w:val="32"/>
          <w:lang w:val="zh-CN"/>
        </w:rPr>
        <w:t>我单位严格按照相关政策及时将城乡居民补充医疗保险保费支付给承办保险公司，异地平台结算的费用由我局代为支付给省医保局，保障了城乡居民待遇，得到</w:t>
      </w:r>
      <w:r>
        <w:rPr>
          <w:rFonts w:hint="eastAsia" w:ascii="仿宋_GB2312" w:eastAsia="仿宋_GB2312"/>
          <w:bCs/>
          <w:sz w:val="32"/>
          <w:szCs w:val="32"/>
        </w:rPr>
        <w:t>全州</w:t>
      </w:r>
      <w:r>
        <w:rPr>
          <w:rFonts w:hint="eastAsia" w:ascii="仿宋_GB2312" w:eastAsia="仿宋_GB2312"/>
          <w:bCs/>
          <w:sz w:val="32"/>
          <w:szCs w:val="32"/>
          <w:lang w:val="zh-CN"/>
        </w:rPr>
        <w:t>城乡居民参保人员的理解和满意</w:t>
      </w:r>
      <w:r>
        <w:rPr>
          <w:rFonts w:ascii="仿宋" w:hAnsi="仿宋" w:eastAsia="仿宋" w:cs="仿宋_GB2312"/>
          <w:sz w:val="32"/>
          <w:szCs w:val="32"/>
        </w:rPr>
        <w:t>。</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存在主要问题</w:t>
      </w:r>
    </w:p>
    <w:p>
      <w:pPr>
        <w:autoSpaceDE w:val="0"/>
        <w:autoSpaceDN w:val="0"/>
        <w:adjustRightInd w:val="0"/>
        <w:spacing w:line="640" w:lineRule="exact"/>
        <w:ind w:firstLine="640" w:firstLineChars="200"/>
        <w:rPr>
          <w:rFonts w:ascii="仿宋_GB2312" w:eastAsia="仿宋_GB2312"/>
          <w:bCs/>
          <w:sz w:val="32"/>
          <w:szCs w:val="32"/>
          <w:lang w:val="zh-CN"/>
        </w:rPr>
      </w:pPr>
      <w:r>
        <w:rPr>
          <w:rFonts w:hint="eastAsia" w:ascii="仿宋_GB2312" w:eastAsia="仿宋_GB2312"/>
          <w:bCs/>
          <w:sz w:val="32"/>
          <w:szCs w:val="32"/>
          <w:lang w:val="zh-CN"/>
        </w:rPr>
        <w:t>由于我州属于“老、少、边、穷”地区，居民经济负担较重、医保意识不强，94%以上参保居民选择第一档缴费。但是，由于我州医疗水平有限，异地就医结算的快捷，大多数居民患病后选择到内地大医院就医，导致医疗费用大幅度增加，基金支付压力过大。</w:t>
      </w:r>
    </w:p>
    <w:p>
      <w:pPr>
        <w:spacing w:line="580" w:lineRule="exact"/>
        <w:ind w:left="420" w:left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600" w:lineRule="exact"/>
        <w:jc w:val="center"/>
        <w:outlineLvl w:val="0"/>
        <w:rPr>
          <w:rStyle w:val="26"/>
          <w:rFonts w:ascii="黑体" w:hAnsi="黑体" w:eastAsia="黑体"/>
          <w:b w:val="0"/>
        </w:rPr>
      </w:pPr>
      <w:bookmarkStart w:id="62" w:name="_Toc15396618"/>
      <w:r>
        <w:rPr>
          <w:rFonts w:hint="eastAsia" w:ascii="黑体" w:hAnsi="黑体" w:eastAsia="黑体"/>
          <w:color w:val="000000"/>
          <w:sz w:val="44"/>
          <w:szCs w:val="44"/>
        </w:rPr>
        <w:t>第</w:t>
      </w:r>
      <w:r>
        <w:rPr>
          <w:rStyle w:val="26"/>
          <w:rFonts w:hint="eastAsia" w:ascii="黑体" w:hAnsi="黑体" w:eastAsia="黑体"/>
          <w:b w:val="0"/>
        </w:rPr>
        <w:t>五部分 附表</w:t>
      </w:r>
      <w:bookmarkEnd w:id="57"/>
      <w:bookmarkEnd w:id="62"/>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7"/>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7"/>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74"/>
    </w:p>
    <w:p>
      <w:pPr>
        <w:pStyle w:val="3"/>
        <w:rPr>
          <w:rFonts w:ascii="仿宋" w:hAnsi="仿宋" w:eastAsia="仿宋"/>
          <w:color w:val="000000"/>
        </w:rPr>
      </w:pPr>
      <w:bookmarkStart w:id="75"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486"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Book Antiqua">
    <w:altName w:val="Segoe Print"/>
    <w:panose1 w:val="02040602050305030304"/>
    <w:charset w:val="00"/>
    <w:family w:val="roman"/>
    <w:pitch w:val="default"/>
    <w:sig w:usb0="00000000" w:usb1="00000000" w:usb2="00000000" w:usb3="00000000" w:csb0="0000009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 w:name="Arial">
    <w:panose1 w:val="020B0604020202020204"/>
    <w:charset w:val="00"/>
    <w:family w:val=""/>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2</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5">
    <w:nsid w:val="4B599798"/>
    <w:multiLevelType w:val="singleLevel"/>
    <w:tmpl w:val="4B599798"/>
    <w:lvl w:ilvl="0" w:tentative="0">
      <w:start w:val="2"/>
      <w:numFmt w:val="chineseCounting"/>
      <w:suff w:val="nothing"/>
      <w:lvlText w:val="（%1）"/>
      <w:lvlJc w:val="left"/>
      <w:rPr>
        <w:rFonts w:hint="eastAsia"/>
      </w:rPr>
    </w:lvl>
  </w:abstractNum>
  <w:abstractNum w:abstractNumId="6">
    <w:nsid w:val="56138ED5"/>
    <w:multiLevelType w:val="singleLevel"/>
    <w:tmpl w:val="56138ED5"/>
    <w:lvl w:ilvl="0" w:tentative="0">
      <w:start w:val="1"/>
      <w:numFmt w:val="chineseCounting"/>
      <w:suff w:val="nothing"/>
      <w:lvlText w:val="%1、"/>
      <w:lvlJc w:val="left"/>
      <w:rPr>
        <w:rFonts w:hint="eastAsia"/>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41C0"/>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00A4"/>
    <w:rsid w:val="00295495"/>
    <w:rsid w:val="00296494"/>
    <w:rsid w:val="002B2613"/>
    <w:rsid w:val="002F1818"/>
    <w:rsid w:val="002F567B"/>
    <w:rsid w:val="003216A9"/>
    <w:rsid w:val="0037013F"/>
    <w:rsid w:val="00371F8B"/>
    <w:rsid w:val="00380C92"/>
    <w:rsid w:val="003A484F"/>
    <w:rsid w:val="003B0BE0"/>
    <w:rsid w:val="003B0C1B"/>
    <w:rsid w:val="003B688C"/>
    <w:rsid w:val="003C0291"/>
    <w:rsid w:val="003C39AE"/>
    <w:rsid w:val="003C7B60"/>
    <w:rsid w:val="003D1FB2"/>
    <w:rsid w:val="003D66DA"/>
    <w:rsid w:val="003E1310"/>
    <w:rsid w:val="003E6F55"/>
    <w:rsid w:val="0040503F"/>
    <w:rsid w:val="00406254"/>
    <w:rsid w:val="004223DE"/>
    <w:rsid w:val="00434489"/>
    <w:rsid w:val="00437085"/>
    <w:rsid w:val="00443880"/>
    <w:rsid w:val="004464F4"/>
    <w:rsid w:val="004533F7"/>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47083"/>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759C4"/>
    <w:rsid w:val="00676A35"/>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A2E13"/>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5303"/>
    <w:rsid w:val="00946945"/>
    <w:rsid w:val="00947452"/>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976BC"/>
    <w:rsid w:val="00AC3C6A"/>
    <w:rsid w:val="00AD5620"/>
    <w:rsid w:val="00AD7C1B"/>
    <w:rsid w:val="00AE16BA"/>
    <w:rsid w:val="00AE1EBE"/>
    <w:rsid w:val="00B03C9D"/>
    <w:rsid w:val="00B060AE"/>
    <w:rsid w:val="00B10517"/>
    <w:rsid w:val="00B14E76"/>
    <w:rsid w:val="00B161B8"/>
    <w:rsid w:val="00B2048C"/>
    <w:rsid w:val="00B24A2B"/>
    <w:rsid w:val="00B310B9"/>
    <w:rsid w:val="00B35F3F"/>
    <w:rsid w:val="00B36CBB"/>
    <w:rsid w:val="00B425E0"/>
    <w:rsid w:val="00B440AA"/>
    <w:rsid w:val="00B44B70"/>
    <w:rsid w:val="00B53C56"/>
    <w:rsid w:val="00B77EA6"/>
    <w:rsid w:val="00B81598"/>
    <w:rsid w:val="00B841F1"/>
    <w:rsid w:val="00B944D6"/>
    <w:rsid w:val="00BB0682"/>
    <w:rsid w:val="00BB4DF0"/>
    <w:rsid w:val="00BC289F"/>
    <w:rsid w:val="00BC5361"/>
    <w:rsid w:val="00BC5460"/>
    <w:rsid w:val="00BC6B50"/>
    <w:rsid w:val="00BD0E25"/>
    <w:rsid w:val="00BF5BD6"/>
    <w:rsid w:val="00C03E31"/>
    <w:rsid w:val="00C159EF"/>
    <w:rsid w:val="00C23178"/>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12650"/>
    <w:rsid w:val="00D20620"/>
    <w:rsid w:val="00D26091"/>
    <w:rsid w:val="00D34E7C"/>
    <w:rsid w:val="00D35489"/>
    <w:rsid w:val="00D51276"/>
    <w:rsid w:val="00D7035F"/>
    <w:rsid w:val="00DA0A2C"/>
    <w:rsid w:val="00DA65AC"/>
    <w:rsid w:val="00DB1913"/>
    <w:rsid w:val="00DC410D"/>
    <w:rsid w:val="00DC68CA"/>
    <w:rsid w:val="00DC7CBA"/>
    <w:rsid w:val="00DD73B7"/>
    <w:rsid w:val="00DF28BC"/>
    <w:rsid w:val="00DF34B9"/>
    <w:rsid w:val="00DF6436"/>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868CD"/>
    <w:rsid w:val="00FA23E8"/>
    <w:rsid w:val="00FD3CC1"/>
    <w:rsid w:val="00FF1E02"/>
    <w:rsid w:val="00FF30B4"/>
    <w:rsid w:val="01C037D0"/>
    <w:rsid w:val="01C32A72"/>
    <w:rsid w:val="034218A3"/>
    <w:rsid w:val="03AC60D3"/>
    <w:rsid w:val="03B93268"/>
    <w:rsid w:val="0427288C"/>
    <w:rsid w:val="04A13040"/>
    <w:rsid w:val="04C37032"/>
    <w:rsid w:val="05132C9A"/>
    <w:rsid w:val="05184D42"/>
    <w:rsid w:val="06B81C5C"/>
    <w:rsid w:val="0745179B"/>
    <w:rsid w:val="07C44768"/>
    <w:rsid w:val="07DF75F9"/>
    <w:rsid w:val="08573E1E"/>
    <w:rsid w:val="08642CBB"/>
    <w:rsid w:val="08C330EF"/>
    <w:rsid w:val="08F05592"/>
    <w:rsid w:val="09C409CD"/>
    <w:rsid w:val="09CC75F2"/>
    <w:rsid w:val="0A715315"/>
    <w:rsid w:val="0AA9607B"/>
    <w:rsid w:val="0AC72ABA"/>
    <w:rsid w:val="0BCC48EF"/>
    <w:rsid w:val="0CBF6DA0"/>
    <w:rsid w:val="0CDB2764"/>
    <w:rsid w:val="0D820E27"/>
    <w:rsid w:val="0E1032A1"/>
    <w:rsid w:val="0EEA0A05"/>
    <w:rsid w:val="0EFF09AB"/>
    <w:rsid w:val="0F2B146F"/>
    <w:rsid w:val="108066BB"/>
    <w:rsid w:val="10C055FF"/>
    <w:rsid w:val="10F2465E"/>
    <w:rsid w:val="10F74766"/>
    <w:rsid w:val="11396C06"/>
    <w:rsid w:val="114D37B4"/>
    <w:rsid w:val="115E740E"/>
    <w:rsid w:val="11697B20"/>
    <w:rsid w:val="11B61D79"/>
    <w:rsid w:val="11BA0CE0"/>
    <w:rsid w:val="12F43C91"/>
    <w:rsid w:val="135C1A9D"/>
    <w:rsid w:val="141B2ADF"/>
    <w:rsid w:val="155462CC"/>
    <w:rsid w:val="15AE3456"/>
    <w:rsid w:val="15B21729"/>
    <w:rsid w:val="16BB723D"/>
    <w:rsid w:val="16C42198"/>
    <w:rsid w:val="16D91A77"/>
    <w:rsid w:val="16ED23AA"/>
    <w:rsid w:val="178A4FD6"/>
    <w:rsid w:val="181C089E"/>
    <w:rsid w:val="186506A5"/>
    <w:rsid w:val="18893FB0"/>
    <w:rsid w:val="1A200363"/>
    <w:rsid w:val="1A304748"/>
    <w:rsid w:val="1AFF6057"/>
    <w:rsid w:val="1B7B1B0E"/>
    <w:rsid w:val="1BBB7E2D"/>
    <w:rsid w:val="1C91313E"/>
    <w:rsid w:val="1C9B12FC"/>
    <w:rsid w:val="1CB04281"/>
    <w:rsid w:val="1D8F3B7B"/>
    <w:rsid w:val="1DD3242D"/>
    <w:rsid w:val="1E692C42"/>
    <w:rsid w:val="21E60813"/>
    <w:rsid w:val="21E65F46"/>
    <w:rsid w:val="23FC4C31"/>
    <w:rsid w:val="240371BF"/>
    <w:rsid w:val="24677DAD"/>
    <w:rsid w:val="24BD1FF2"/>
    <w:rsid w:val="251B4741"/>
    <w:rsid w:val="251C542D"/>
    <w:rsid w:val="25A4667D"/>
    <w:rsid w:val="27CB4D6A"/>
    <w:rsid w:val="27DE5B90"/>
    <w:rsid w:val="286233A9"/>
    <w:rsid w:val="28784227"/>
    <w:rsid w:val="28913E9A"/>
    <w:rsid w:val="2969197F"/>
    <w:rsid w:val="29FD04D3"/>
    <w:rsid w:val="2A341FFA"/>
    <w:rsid w:val="2A6C2749"/>
    <w:rsid w:val="2B9044E3"/>
    <w:rsid w:val="2C6D3831"/>
    <w:rsid w:val="2D017296"/>
    <w:rsid w:val="2E02744A"/>
    <w:rsid w:val="2E334DDB"/>
    <w:rsid w:val="2ECA7609"/>
    <w:rsid w:val="2ED741E5"/>
    <w:rsid w:val="2F044134"/>
    <w:rsid w:val="2F432231"/>
    <w:rsid w:val="2F4E2FA9"/>
    <w:rsid w:val="2F860D4C"/>
    <w:rsid w:val="30205497"/>
    <w:rsid w:val="30303F83"/>
    <w:rsid w:val="30E45913"/>
    <w:rsid w:val="310B4584"/>
    <w:rsid w:val="312F1D15"/>
    <w:rsid w:val="319F7F4E"/>
    <w:rsid w:val="31FA1C8E"/>
    <w:rsid w:val="31FE4ACF"/>
    <w:rsid w:val="32361FE2"/>
    <w:rsid w:val="33FB73A9"/>
    <w:rsid w:val="341A1998"/>
    <w:rsid w:val="34396A1A"/>
    <w:rsid w:val="358C3460"/>
    <w:rsid w:val="363C41E5"/>
    <w:rsid w:val="36DC3C51"/>
    <w:rsid w:val="38464AEB"/>
    <w:rsid w:val="38572105"/>
    <w:rsid w:val="38CE513F"/>
    <w:rsid w:val="38E87EE7"/>
    <w:rsid w:val="3940562A"/>
    <w:rsid w:val="39CA62D5"/>
    <w:rsid w:val="39FE3376"/>
    <w:rsid w:val="3A3061F8"/>
    <w:rsid w:val="3B032239"/>
    <w:rsid w:val="3C1F3A02"/>
    <w:rsid w:val="3D12302A"/>
    <w:rsid w:val="3E7C4091"/>
    <w:rsid w:val="3EF03C9F"/>
    <w:rsid w:val="3F3A6A31"/>
    <w:rsid w:val="3F485AA4"/>
    <w:rsid w:val="3F5C3B53"/>
    <w:rsid w:val="3FA00970"/>
    <w:rsid w:val="3FE0100D"/>
    <w:rsid w:val="406D19DC"/>
    <w:rsid w:val="423F58A4"/>
    <w:rsid w:val="42CF43AB"/>
    <w:rsid w:val="44182E5B"/>
    <w:rsid w:val="44DD2809"/>
    <w:rsid w:val="456067BE"/>
    <w:rsid w:val="45A51E04"/>
    <w:rsid w:val="46694787"/>
    <w:rsid w:val="479864CE"/>
    <w:rsid w:val="47DC504E"/>
    <w:rsid w:val="48F96504"/>
    <w:rsid w:val="4905028B"/>
    <w:rsid w:val="492B471A"/>
    <w:rsid w:val="49B83193"/>
    <w:rsid w:val="4A70372C"/>
    <w:rsid w:val="4AB42009"/>
    <w:rsid w:val="4BD87C37"/>
    <w:rsid w:val="4CC90D1D"/>
    <w:rsid w:val="4D014EA6"/>
    <w:rsid w:val="4D501F7F"/>
    <w:rsid w:val="4D635C7B"/>
    <w:rsid w:val="4EB24112"/>
    <w:rsid w:val="50E23A41"/>
    <w:rsid w:val="512E0C1E"/>
    <w:rsid w:val="53585E32"/>
    <w:rsid w:val="53DF0612"/>
    <w:rsid w:val="55057026"/>
    <w:rsid w:val="55B84EAE"/>
    <w:rsid w:val="561A74D1"/>
    <w:rsid w:val="56443B98"/>
    <w:rsid w:val="56B20949"/>
    <w:rsid w:val="57257172"/>
    <w:rsid w:val="5748004A"/>
    <w:rsid w:val="576D1DAF"/>
    <w:rsid w:val="57742BA0"/>
    <w:rsid w:val="59870472"/>
    <w:rsid w:val="59C177FD"/>
    <w:rsid w:val="59C570C5"/>
    <w:rsid w:val="5A0C76AB"/>
    <w:rsid w:val="5B832099"/>
    <w:rsid w:val="5BAC398B"/>
    <w:rsid w:val="5BDE2D0E"/>
    <w:rsid w:val="5C2E58F2"/>
    <w:rsid w:val="5E47553D"/>
    <w:rsid w:val="5F003BAD"/>
    <w:rsid w:val="5F05545F"/>
    <w:rsid w:val="5F1A5595"/>
    <w:rsid w:val="5F804DF1"/>
    <w:rsid w:val="61225F5B"/>
    <w:rsid w:val="61775374"/>
    <w:rsid w:val="61875E74"/>
    <w:rsid w:val="636A1027"/>
    <w:rsid w:val="638A0B6F"/>
    <w:rsid w:val="644F1FE6"/>
    <w:rsid w:val="646E75D0"/>
    <w:rsid w:val="64BA1C4E"/>
    <w:rsid w:val="654F7499"/>
    <w:rsid w:val="65A93AD5"/>
    <w:rsid w:val="66146B92"/>
    <w:rsid w:val="664107D0"/>
    <w:rsid w:val="66ED1CCD"/>
    <w:rsid w:val="673A09E8"/>
    <w:rsid w:val="6775569F"/>
    <w:rsid w:val="677646EB"/>
    <w:rsid w:val="679C2F9C"/>
    <w:rsid w:val="67B06467"/>
    <w:rsid w:val="6884352A"/>
    <w:rsid w:val="68AB31C8"/>
    <w:rsid w:val="696F0988"/>
    <w:rsid w:val="69786CF8"/>
    <w:rsid w:val="698F343B"/>
    <w:rsid w:val="6A67357A"/>
    <w:rsid w:val="6AB60FD8"/>
    <w:rsid w:val="6B312C2A"/>
    <w:rsid w:val="6B644DBD"/>
    <w:rsid w:val="6C7147F8"/>
    <w:rsid w:val="6CA86ED0"/>
    <w:rsid w:val="6CC85207"/>
    <w:rsid w:val="6D367FD8"/>
    <w:rsid w:val="6D5A35CD"/>
    <w:rsid w:val="6E636365"/>
    <w:rsid w:val="6E9047F2"/>
    <w:rsid w:val="6F425419"/>
    <w:rsid w:val="701D2644"/>
    <w:rsid w:val="705E087A"/>
    <w:rsid w:val="70622480"/>
    <w:rsid w:val="70A30C2F"/>
    <w:rsid w:val="70CC2063"/>
    <w:rsid w:val="71267CAF"/>
    <w:rsid w:val="715764B7"/>
    <w:rsid w:val="71AB0CD3"/>
    <w:rsid w:val="724A5C0A"/>
    <w:rsid w:val="72814339"/>
    <w:rsid w:val="737B5F85"/>
    <w:rsid w:val="75961376"/>
    <w:rsid w:val="76B9447C"/>
    <w:rsid w:val="76E40123"/>
    <w:rsid w:val="76EA6BA6"/>
    <w:rsid w:val="76FB3B5A"/>
    <w:rsid w:val="77633B82"/>
    <w:rsid w:val="77B95F79"/>
    <w:rsid w:val="77FC7E27"/>
    <w:rsid w:val="78054D74"/>
    <w:rsid w:val="784C6FA1"/>
    <w:rsid w:val="785107AA"/>
    <w:rsid w:val="788543D3"/>
    <w:rsid w:val="78FC7B8F"/>
    <w:rsid w:val="79FE2379"/>
    <w:rsid w:val="7A25492E"/>
    <w:rsid w:val="7B213420"/>
    <w:rsid w:val="7B666AB8"/>
    <w:rsid w:val="7D3E772D"/>
    <w:rsid w:val="7D630F8C"/>
    <w:rsid w:val="7D6848A8"/>
    <w:rsid w:val="7D765C5C"/>
    <w:rsid w:val="7E275E92"/>
    <w:rsid w:val="7EA27891"/>
    <w:rsid w:val="7FF7419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Book Antiqua" w:hAnsi="Book Antiqua" w:eastAsia="宋体" w:cs="Book Antiqu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nhideWhenUsed="0"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99"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Cambria" w:hAnsi="Cambria" w:cs="黑体"/>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5"/>
    <w:qFormat/>
    <w:uiPriority w:val="99"/>
    <w:pPr>
      <w:spacing w:beforeLines="30"/>
    </w:pPr>
    <w:rPr>
      <w:rFonts w:ascii="仿宋_GB2312" w:eastAsia="仿宋_GB2312"/>
      <w:kern w:val="0"/>
      <w:sz w:val="30"/>
    </w:rPr>
  </w:style>
  <w:style w:type="paragraph" w:styleId="6">
    <w:name w:val="Body Text Indent"/>
    <w:basedOn w:val="1"/>
    <w:unhideWhenUsed/>
    <w:qFormat/>
    <w:uiPriority w:val="99"/>
    <w:pPr>
      <w:spacing w:after="120"/>
      <w:ind w:left="420" w:leftChars="200"/>
    </w:pPr>
    <w:rPr>
      <w:rFonts w:ascii="Calibri" w:hAnsi="Calibri"/>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u w:val="single"/>
    </w:rPr>
  </w:style>
  <w:style w:type="paragraph" w:customStyle="1" w:styleId="1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18">
    <w:name w:val="列出段落1"/>
    <w:basedOn w:val="1"/>
    <w:qFormat/>
    <w:uiPriority w:val="34"/>
    <w:pPr>
      <w:ind w:firstLine="420" w:firstLineChars="200"/>
    </w:pPr>
  </w:style>
  <w:style w:type="paragraph" w:customStyle="1" w:styleId="19">
    <w:name w:val="TOC 标题1"/>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character" w:customStyle="1" w:styleId="20">
    <w:name w:val="Header Char"/>
    <w:basedOn w:val="14"/>
    <w:semiHidden/>
    <w:qFormat/>
    <w:uiPriority w:val="99"/>
    <w:rPr>
      <w:rFonts w:ascii="Times New Roman" w:hAnsi="Times New Roman"/>
      <w:sz w:val="18"/>
      <w:szCs w:val="18"/>
    </w:rPr>
  </w:style>
  <w:style w:type="character" w:customStyle="1" w:styleId="21">
    <w:name w:val="页眉 Char"/>
    <w:link w:val="10"/>
    <w:semiHidden/>
    <w:qFormat/>
    <w:locked/>
    <w:uiPriority w:val="99"/>
    <w:rPr>
      <w:sz w:val="18"/>
    </w:rPr>
  </w:style>
  <w:style w:type="character" w:customStyle="1" w:styleId="22">
    <w:name w:val="Footer Char"/>
    <w:basedOn w:val="14"/>
    <w:semiHidden/>
    <w:qFormat/>
    <w:uiPriority w:val="99"/>
    <w:rPr>
      <w:rFonts w:ascii="Times New Roman" w:hAnsi="Times New Roman"/>
      <w:sz w:val="18"/>
      <w:szCs w:val="18"/>
    </w:rPr>
  </w:style>
  <w:style w:type="character" w:customStyle="1" w:styleId="23">
    <w:name w:val="页脚 Char"/>
    <w:link w:val="9"/>
    <w:qFormat/>
    <w:locked/>
    <w:uiPriority w:val="99"/>
    <w:rPr>
      <w:sz w:val="18"/>
    </w:rPr>
  </w:style>
  <w:style w:type="character" w:customStyle="1" w:styleId="24">
    <w:name w:val="Body Text Char"/>
    <w:basedOn w:val="14"/>
    <w:semiHidden/>
    <w:qFormat/>
    <w:uiPriority w:val="99"/>
    <w:rPr>
      <w:rFonts w:ascii="Times New Roman" w:hAnsi="Times New Roman"/>
      <w:szCs w:val="24"/>
    </w:rPr>
  </w:style>
  <w:style w:type="character" w:customStyle="1" w:styleId="25">
    <w:name w:val="正文文本 Char"/>
    <w:link w:val="5"/>
    <w:qFormat/>
    <w:locked/>
    <w:uiPriority w:val="99"/>
    <w:rPr>
      <w:rFonts w:ascii="仿宋_GB2312" w:hAnsi="Times New Roman" w:eastAsia="仿宋_GB2312"/>
      <w:sz w:val="24"/>
    </w:rPr>
  </w:style>
  <w:style w:type="character" w:customStyle="1" w:styleId="26">
    <w:name w:val="标题 1 Char"/>
    <w:basedOn w:val="14"/>
    <w:link w:val="2"/>
    <w:qFormat/>
    <w:uiPriority w:val="9"/>
    <w:rPr>
      <w:rFonts w:ascii="Times New Roman" w:hAnsi="Times New Roman"/>
      <w:b/>
      <w:bCs/>
      <w:kern w:val="44"/>
      <w:sz w:val="44"/>
      <w:szCs w:val="44"/>
    </w:rPr>
  </w:style>
  <w:style w:type="character" w:customStyle="1" w:styleId="27">
    <w:name w:val="标题 2 Char"/>
    <w:basedOn w:val="14"/>
    <w:link w:val="3"/>
    <w:qFormat/>
    <w:uiPriority w:val="9"/>
    <w:rPr>
      <w:rFonts w:ascii="Cambria" w:hAnsi="Cambria" w:eastAsia="宋体" w:cs="黑体"/>
      <w:b/>
      <w:bCs/>
      <w:kern w:val="2"/>
      <w:sz w:val="32"/>
      <w:szCs w:val="32"/>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4.xml"/><Relationship Id="rId15" Type="http://schemas.openxmlformats.org/officeDocument/2006/relationships/chart" Target="charts/chart3.xml"/><Relationship Id="rId14" Type="http://schemas.openxmlformats.org/officeDocument/2006/relationships/image" Target="media/image4.emf"/><Relationship Id="rId13" Type="http://schemas.openxmlformats.org/officeDocument/2006/relationships/oleObject" Target="embeddings/oleObject3.bin"/><Relationship Id="rId12" Type="http://schemas.openxmlformats.org/officeDocument/2006/relationships/image" Target="media/image3.emf"/><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
        <c:rich>
          <a:bodyPr/>
          <a:lstStyle/>
          <a:p>
            <a:pPr>
              <a:defRPr/>
            </a:pPr>
          </a:p>
        </c:rich>
      </c:tx>
    </c:title>
    <c:autoTitleDeleted val="0"/>
    <c:plotArea>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Sheet1!$B$2:$B$3</c:f>
              <c:numCache>
                <c:formatCode>General</c:formatCode>
                <c:ptCount val="2"/>
                <c:pt idx="0">
                  <c:v>1232.8</c:v>
                </c:pt>
                <c:pt idx="1">
                  <c:v>1232.8</c:v>
                </c:pt>
              </c:numCache>
            </c:numRef>
          </c:val>
        </c:ser>
        <c:ser>
          <c:idx val="1"/>
          <c:order val="1"/>
          <c:tx>
            <c:strRef>
              <c:f>Sheet1!$C$1</c:f>
              <c:strCache>
                <c:ptCount val="1"/>
                <c:pt idx="0">
                  <c:v>2018</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收入</c:v>
                </c:pt>
                <c:pt idx="1">
                  <c:v>支出</c:v>
                </c:pt>
              </c:strCache>
            </c:strRef>
          </c:cat>
          <c:val>
            <c:numRef>
              <c:f>Sheet1!$C$2:$C$3</c:f>
              <c:numCache>
                <c:formatCode>General</c:formatCode>
                <c:ptCount val="2"/>
                <c:pt idx="0">
                  <c:v>1340.55</c:v>
                </c:pt>
                <c:pt idx="1">
                  <c:v>1340.55</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978645708"/>
        <c:axId val="344929835"/>
      </c:barChart>
      <c:catAx>
        <c:axId val="97864570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4929835"/>
        <c:crosses val="autoZero"/>
        <c:auto val="1"/>
        <c:lblAlgn val="ctr"/>
        <c:lblOffset val="100"/>
        <c:noMultiLvlLbl val="0"/>
      </c:catAx>
      <c:valAx>
        <c:axId val="34492983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786457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项目支出</c:v>
                </c:pt>
                <c:pt idx="1">
                  <c:v>基本支出</c:v>
                </c:pt>
              </c:strCache>
            </c:strRef>
          </c:cat>
          <c:val>
            <c:numRef>
              <c:f>Sheet1!$B$2:$B$3</c:f>
              <c:numCache>
                <c:formatCode>General</c:formatCode>
                <c:ptCount val="2"/>
                <c:pt idx="0">
                  <c:v>631.46</c:v>
                </c:pt>
                <c:pt idx="1">
                  <c:v>704.22</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列2</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explosion val="1"/>
            <c:spPr>
              <a:solidFill>
                <a:schemeClr val="accent4"/>
              </a:solidFill>
              <a:ln w="19050">
                <a:solidFill>
                  <a:schemeClr val="lt1"/>
                </a:solidFill>
              </a:ln>
              <a:effectLst/>
            </c:spPr>
          </c:dPt>
          <c:dLbls>
            <c:dLbl>
              <c:idx val="0"/>
              <c:layout>
                <c:manualLayout>
                  <c:x val="-0.101424081262027"/>
                  <c:y val="0.0039848659199874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360180777794726"/>
                  <c:y val="-0.0055304949582788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700833616085135"/>
                  <c:y val="-0.0256846655618264"/>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168147411794535"/>
                  <c:y val="0.036657908561573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社会保障和就业支出</c:v>
                </c:pt>
                <c:pt idx="1">
                  <c:v>医疗卫生支出</c:v>
                </c:pt>
                <c:pt idx="2">
                  <c:v>农林水支出</c:v>
                </c:pt>
                <c:pt idx="3">
                  <c:v>住房保障支出</c:v>
                </c:pt>
              </c:strCache>
            </c:strRef>
          </c:cat>
          <c:val>
            <c:numRef>
              <c:f>Sheet1!$B$2:$B$5</c:f>
              <c:numCache>
                <c:formatCode>General</c:formatCode>
                <c:ptCount val="4"/>
                <c:pt idx="0">
                  <c:v>651.2</c:v>
                </c:pt>
                <c:pt idx="1">
                  <c:v>21.7</c:v>
                </c:pt>
                <c:pt idx="2">
                  <c:v>631.46</c:v>
                </c:pt>
                <c:pt idx="3">
                  <c:v>31.48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公务用车购置及运行维护费</c:v>
                </c:pt>
                <c:pt idx="1">
                  <c:v>公务接待费</c:v>
                </c:pt>
              </c:strCache>
            </c:strRef>
          </c:cat>
          <c:val>
            <c:numRef>
              <c:f>Sheet1!$B$2:$B$3</c:f>
              <c:numCache>
                <c:formatCode>General</c:formatCode>
                <c:ptCount val="2"/>
                <c:pt idx="0">
                  <c:v>4.63</c:v>
                </c:pt>
                <c:pt idx="1">
                  <c:v>0.5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manualLayout>
          <c:xMode val="edge"/>
          <c:yMode val="edge"/>
          <c:x val="0.196908602150538"/>
          <c:y val="0.8568611987381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30</Pages>
  <Words>2254</Words>
  <Characters>12849</Characters>
  <Lines>107</Lines>
  <Paragraphs>30</Paragraphs>
  <TotalTime>16</TotalTime>
  <ScaleCrop>false</ScaleCrop>
  <LinksUpToDate>false</LinksUpToDate>
  <CharactersWithSpaces>15073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ybyd</cp:lastModifiedBy>
  <cp:lastPrinted>2019-08-01T00:48:00Z</cp:lastPrinted>
  <dcterms:modified xsi:type="dcterms:W3CDTF">2019-09-23T09:31:46Z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