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highlight w:val="none"/>
        </w:rPr>
      </w:pPr>
      <w:bookmarkStart w:id="0" w:name="_Toc15306267"/>
    </w:p>
    <w:p>
      <w:pPr>
        <w:spacing w:line="600" w:lineRule="exact"/>
        <w:jc w:val="center"/>
        <w:outlineLvl w:val="0"/>
        <w:rPr>
          <w:rFonts w:ascii="方正小标宋简体" w:hAnsi="宋体" w:eastAsia="方正小标宋简体"/>
          <w:color w:val="000000"/>
          <w:sz w:val="72"/>
          <w:szCs w:val="72"/>
          <w:highlight w:val="none"/>
        </w:rPr>
      </w:pPr>
    </w:p>
    <w:p>
      <w:pPr>
        <w:spacing w:line="600" w:lineRule="exact"/>
        <w:jc w:val="center"/>
        <w:outlineLvl w:val="0"/>
        <w:rPr>
          <w:rFonts w:ascii="方正小标宋简体" w:hAnsi="宋体" w:eastAsia="方正小标宋简体"/>
          <w:color w:val="000000"/>
          <w:sz w:val="72"/>
          <w:szCs w:val="72"/>
          <w:highlight w:val="none"/>
        </w:rPr>
      </w:pPr>
    </w:p>
    <w:p>
      <w:pPr>
        <w:spacing w:line="600" w:lineRule="exact"/>
        <w:jc w:val="center"/>
        <w:outlineLvl w:val="0"/>
        <w:rPr>
          <w:rFonts w:ascii="方正小标宋简体" w:hAnsi="宋体" w:eastAsia="方正小标宋简体"/>
          <w:color w:val="000000"/>
          <w:sz w:val="72"/>
          <w:szCs w:val="72"/>
          <w:highlight w:val="none"/>
        </w:rPr>
      </w:pPr>
    </w:p>
    <w:p>
      <w:pPr>
        <w:adjustRightInd w:val="0"/>
        <w:snapToGrid w:val="0"/>
        <w:spacing w:line="360" w:lineRule="auto"/>
        <w:jc w:val="center"/>
        <w:outlineLvl w:val="0"/>
        <w:rPr>
          <w:rFonts w:ascii="方正小标宋简体" w:hAnsi="宋体" w:eastAsia="方正小标宋简体"/>
          <w:color w:val="000000"/>
          <w:sz w:val="72"/>
          <w:szCs w:val="72"/>
          <w:highlight w:val="none"/>
        </w:rPr>
      </w:pPr>
      <w:bookmarkStart w:id="1" w:name="_Toc15377425"/>
      <w:bookmarkStart w:id="2" w:name="_Toc15378441"/>
      <w:bookmarkStart w:id="3" w:name="_Toc15377193"/>
      <w:bookmarkStart w:id="4" w:name="_Toc15396597"/>
      <w:bookmarkStart w:id="5" w:name="_Toc15396475"/>
      <w:r>
        <w:rPr>
          <w:rFonts w:ascii="黑体" w:hAnsi="黑体" w:eastAsia="黑体"/>
          <w:color w:val="000000"/>
          <w:sz w:val="72"/>
          <w:szCs w:val="72"/>
          <w:highlight w:val="none"/>
        </w:rPr>
        <w:t>201</w:t>
      </w:r>
      <w:r>
        <w:rPr>
          <w:rFonts w:hint="eastAsia" w:ascii="黑体" w:hAnsi="黑体" w:eastAsia="黑体"/>
          <w:color w:val="000000"/>
          <w:sz w:val="72"/>
          <w:szCs w:val="72"/>
          <w:highlight w:val="none"/>
        </w:rPr>
        <w:t>9</w:t>
      </w:r>
      <w:r>
        <w:rPr>
          <w:rFonts w:hint="eastAsia" w:ascii="方正小标宋简体" w:hAnsi="宋体" w:eastAsia="方正小标宋简体"/>
          <w:color w:val="000000"/>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highlight w:val="none"/>
        </w:rPr>
      </w:pPr>
      <w:bookmarkStart w:id="6" w:name="_Toc15396476"/>
      <w:bookmarkStart w:id="7" w:name="_Toc15377194"/>
      <w:bookmarkStart w:id="8" w:name="_Toc15378442"/>
      <w:bookmarkStart w:id="9" w:name="_Toc15396598"/>
      <w:bookmarkStart w:id="10" w:name="_Toc15377426"/>
      <w:r>
        <w:rPr>
          <w:rFonts w:hint="eastAsia" w:ascii="方正小标宋简体" w:hAnsi="宋体" w:eastAsia="方正小标宋简体"/>
          <w:color w:val="000000"/>
          <w:sz w:val="72"/>
          <w:szCs w:val="72"/>
          <w:highlight w:val="none"/>
        </w:rPr>
        <w:t>四川省阿坝</w:t>
      </w:r>
      <w:bookmarkEnd w:id="0"/>
      <w:bookmarkStart w:id="11" w:name="_Toc15306268"/>
      <w:r>
        <w:rPr>
          <w:rFonts w:hint="eastAsia" w:ascii="方正小标宋简体" w:hAnsi="宋体" w:eastAsia="方正小标宋简体"/>
          <w:color w:val="000000"/>
          <w:sz w:val="72"/>
          <w:szCs w:val="72"/>
          <w:highlight w:val="none"/>
          <w:lang w:val="en-US" w:eastAsia="zh-CN"/>
        </w:rPr>
        <w:t>州医疗保障事务中心</w:t>
      </w:r>
      <w:r>
        <w:rPr>
          <w:rFonts w:hint="eastAsia" w:ascii="方正小标宋简体" w:hAnsi="宋体" w:eastAsia="方正小标宋简体"/>
          <w:color w:val="000000"/>
          <w:sz w:val="72"/>
          <w:szCs w:val="72"/>
          <w:highlight w:val="none"/>
        </w:rPr>
        <w:t>部门决算</w:t>
      </w:r>
      <w:bookmarkEnd w:id="6"/>
      <w:bookmarkEnd w:id="7"/>
      <w:bookmarkEnd w:id="8"/>
      <w:bookmarkEnd w:id="9"/>
      <w:bookmarkEnd w:id="10"/>
      <w:bookmarkEnd w:id="11"/>
    </w:p>
    <w:p>
      <w:pPr>
        <w:autoSpaceDE w:val="0"/>
        <w:autoSpaceDN w:val="0"/>
        <w:adjustRightInd w:val="0"/>
        <w:ind w:firstLine="1276"/>
        <w:jc w:val="left"/>
        <w:rPr>
          <w:rFonts w:ascii="仿宋_GB2312" w:eastAsia="仿宋_GB2312" w:cs="仿宋_GB2312"/>
          <w:sz w:val="32"/>
          <w:szCs w:val="32"/>
          <w:highlight w:val="none"/>
        </w:rPr>
      </w:pPr>
    </w:p>
    <w:p>
      <w:pPr>
        <w:autoSpaceDE w:val="0"/>
        <w:autoSpaceDN w:val="0"/>
        <w:adjustRightInd w:val="0"/>
        <w:ind w:firstLine="1276"/>
        <w:jc w:val="left"/>
        <w:rPr>
          <w:rFonts w:ascii="仿宋_GB2312" w:eastAsia="仿宋_GB2312" w:cs="仿宋_GB2312"/>
          <w:sz w:val="32"/>
          <w:szCs w:val="32"/>
          <w:highlight w:val="none"/>
        </w:rPr>
      </w:pPr>
    </w:p>
    <w:p>
      <w:pPr>
        <w:autoSpaceDE w:val="0"/>
        <w:autoSpaceDN w:val="0"/>
        <w:adjustRightInd w:val="0"/>
        <w:ind w:firstLine="1276"/>
        <w:jc w:val="left"/>
        <w:rPr>
          <w:rFonts w:ascii="仿宋_GB2312" w:eastAsia="仿宋_GB2312" w:cs="仿宋_GB2312"/>
          <w:sz w:val="32"/>
          <w:szCs w:val="32"/>
          <w:highlight w:val="none"/>
        </w:rPr>
      </w:pPr>
    </w:p>
    <w:p>
      <w:pPr>
        <w:autoSpaceDE w:val="0"/>
        <w:autoSpaceDN w:val="0"/>
        <w:adjustRightInd w:val="0"/>
        <w:ind w:firstLine="1276"/>
        <w:jc w:val="left"/>
        <w:rPr>
          <w:rFonts w:ascii="仿宋_GB2312" w:eastAsia="仿宋_GB2312" w:cs="仿宋_GB2312"/>
          <w:sz w:val="32"/>
          <w:szCs w:val="32"/>
          <w:highlight w:val="none"/>
        </w:rPr>
      </w:pPr>
    </w:p>
    <w:p>
      <w:pPr>
        <w:autoSpaceDE w:val="0"/>
        <w:autoSpaceDN w:val="0"/>
        <w:adjustRightInd w:val="0"/>
        <w:ind w:firstLine="1276"/>
        <w:jc w:val="left"/>
        <w:rPr>
          <w:rFonts w:hint="eastAsia" w:ascii="仿宋_GB2312" w:eastAsia="仿宋_GB2312" w:cs="仿宋_GB2312"/>
          <w:sz w:val="32"/>
          <w:szCs w:val="32"/>
          <w:highlight w:val="none"/>
        </w:rPr>
      </w:pPr>
    </w:p>
    <w:p>
      <w:pPr>
        <w:autoSpaceDE w:val="0"/>
        <w:autoSpaceDN w:val="0"/>
        <w:adjustRightInd w:val="0"/>
        <w:ind w:firstLine="1276"/>
        <w:jc w:val="left"/>
        <w:rPr>
          <w:rFonts w:eastAsia="仿宋_GB2312"/>
          <w:sz w:val="32"/>
          <w:szCs w:val="32"/>
          <w:highlight w:val="none"/>
        </w:rPr>
      </w:pPr>
      <w:r>
        <w:rPr>
          <w:rFonts w:hint="eastAsia" w:ascii="仿宋_GB2312" w:eastAsia="仿宋_GB2312" w:cs="仿宋_GB2312"/>
          <w:sz w:val="32"/>
          <w:szCs w:val="32"/>
          <w:highlight w:val="none"/>
        </w:rPr>
        <w:t>保密审查情况：已审查，内容审定</w:t>
      </w:r>
    </w:p>
    <w:p>
      <w:pPr>
        <w:autoSpaceDE w:val="0"/>
        <w:autoSpaceDN w:val="0"/>
        <w:adjustRightInd w:val="0"/>
        <w:ind w:firstLine="1276"/>
        <w:jc w:val="left"/>
        <w:rPr>
          <w:rFonts w:eastAsia="仿宋_GB2312"/>
          <w:sz w:val="32"/>
          <w:szCs w:val="32"/>
          <w:highlight w:val="none"/>
        </w:rPr>
      </w:pPr>
      <w:r>
        <w:rPr>
          <w:rFonts w:hint="eastAsia" w:ascii="仿宋_GB2312" w:eastAsia="仿宋_GB2312" w:cs="仿宋_GB2312"/>
          <w:sz w:val="32"/>
          <w:szCs w:val="32"/>
          <w:highlight w:val="none"/>
        </w:rPr>
        <w:t>部门主要负责人审签情况：已审签，同意对外公开</w:t>
      </w:r>
    </w:p>
    <w:p>
      <w:pPr>
        <w:autoSpaceDE w:val="0"/>
        <w:autoSpaceDN w:val="0"/>
        <w:adjustRightInd w:val="0"/>
        <w:jc w:val="center"/>
        <w:rPr>
          <w:rFonts w:eastAsia="仿宋_GB2312"/>
          <w:color w:val="000000"/>
          <w:sz w:val="72"/>
          <w:szCs w:val="72"/>
          <w:highlight w:val="none"/>
        </w:rPr>
      </w:pPr>
    </w:p>
    <w:p>
      <w:pPr>
        <w:autoSpaceDE w:val="0"/>
        <w:autoSpaceDN w:val="0"/>
        <w:adjustRightInd w:val="0"/>
        <w:jc w:val="center"/>
        <w:rPr>
          <w:rFonts w:eastAsia="仿宋_GB2312"/>
          <w:color w:val="000000"/>
          <w:sz w:val="72"/>
          <w:szCs w:val="72"/>
          <w:highlight w:val="none"/>
        </w:rPr>
      </w:pPr>
    </w:p>
    <w:p>
      <w:pPr>
        <w:widowControl/>
        <w:jc w:val="center"/>
        <w:rPr>
          <w:rFonts w:ascii="黑体" w:hAnsi="黑体" w:eastAsia="黑体"/>
          <w:color w:val="000000"/>
          <w:sz w:val="48"/>
          <w:szCs w:val="48"/>
          <w:highlight w:val="none"/>
        </w:rPr>
      </w:pPr>
      <w:r>
        <w:rPr>
          <w:rFonts w:ascii="方正小标宋简体" w:hAnsi="宋体" w:eastAsia="方正小标宋简体"/>
          <w:color w:val="000000"/>
          <w:sz w:val="36"/>
          <w:szCs w:val="36"/>
          <w:highlight w:val="none"/>
        </w:rPr>
        <w:br w:type="page"/>
      </w:r>
      <w:r>
        <w:rPr>
          <w:rFonts w:hint="eastAsia" w:ascii="黑体" w:hAnsi="黑体" w:eastAsia="黑体"/>
          <w:color w:val="000000"/>
          <w:sz w:val="48"/>
          <w:szCs w:val="48"/>
          <w:highlight w:val="none"/>
        </w:rPr>
        <w:t>目录</w:t>
      </w:r>
    </w:p>
    <w:p>
      <w:pPr>
        <w:widowControl/>
        <w:jc w:val="center"/>
        <w:rPr>
          <w:rFonts w:ascii="黑体" w:hAnsi="黑体" w:eastAsia="黑体" w:cstheme="minorBidi"/>
          <w:sz w:val="28"/>
          <w:szCs w:val="28"/>
          <w:highlight w:val="none"/>
        </w:rPr>
      </w:pPr>
    </w:p>
    <w:p>
      <w:pPr>
        <w:pStyle w:val="9"/>
        <w:rPr>
          <w:highlight w:val="none"/>
        </w:rPr>
      </w:pPr>
      <w:r>
        <w:rPr>
          <w:rFonts w:hint="eastAsia"/>
          <w:highlight w:val="none"/>
        </w:rPr>
        <w:t>公开时间：2020年9月</w:t>
      </w:r>
      <w:r>
        <w:rPr>
          <w:highlight w:val="none"/>
        </w:rPr>
        <w:t>25</w:t>
      </w:r>
      <w:r>
        <w:rPr>
          <w:rFonts w:hint="eastAsia"/>
          <w:highlight w:val="none"/>
        </w:rPr>
        <w:t>日</w:t>
      </w:r>
    </w:p>
    <w:p>
      <w:pPr>
        <w:rPr>
          <w:highlight w:val="none"/>
        </w:rPr>
      </w:pPr>
    </w:p>
    <w:p>
      <w:pPr>
        <w:pStyle w:val="9"/>
        <w:adjustRightInd w:val="0"/>
        <w:snapToGrid w:val="0"/>
        <w:spacing w:before="0" w:line="440" w:lineRule="exact"/>
        <w:jc w:val="left"/>
        <w:rPr>
          <w:rFonts w:hint="eastAsia" w:eastAsia="仿宋" w:cstheme="minorBidi"/>
          <w:sz w:val="24"/>
          <w:szCs w:val="24"/>
          <w:highlight w:val="none"/>
          <w:lang w:val="en-US" w:eastAsia="zh-CN"/>
        </w:rPr>
      </w:pPr>
      <w:r>
        <w:rPr>
          <w:rFonts w:hint="eastAsia"/>
          <w:sz w:val="24"/>
          <w:highlight w:val="none"/>
        </w:rPr>
        <w:t>第一部分</w:t>
      </w:r>
      <w:r>
        <w:rPr>
          <w:sz w:val="24"/>
          <w:highlight w:val="none"/>
        </w:rPr>
        <w:t xml:space="preserve"> </w:t>
      </w:r>
      <w:r>
        <w:rPr>
          <w:rFonts w:hint="eastAsia"/>
          <w:sz w:val="24"/>
          <w:highlight w:val="none"/>
        </w:rPr>
        <w:t>部门概况</w:t>
      </w:r>
      <w:r>
        <w:rPr>
          <w:rFonts w:hint="eastAsia"/>
          <w:sz w:val="24"/>
          <w:highlight w:val="none"/>
          <w:lang w:val="en-US" w:eastAsia="zh-CN"/>
        </w:rPr>
        <w:t>-------------------------------------01</w:t>
      </w:r>
    </w:p>
    <w:p>
      <w:pPr>
        <w:pStyle w:val="10"/>
        <w:adjustRightInd w:val="0"/>
        <w:snapToGrid w:val="0"/>
        <w:spacing w:line="440" w:lineRule="exact"/>
        <w:jc w:val="left"/>
        <w:rPr>
          <w:rFonts w:hint="default" w:ascii="仿宋" w:hAnsi="仿宋" w:eastAsia="宋体"/>
          <w:sz w:val="24"/>
          <w:highlight w:val="none"/>
          <w:lang w:val="en-US" w:eastAsia="zh-CN"/>
        </w:rPr>
      </w:pPr>
      <w:r>
        <w:rPr>
          <w:rFonts w:hint="eastAsia"/>
          <w:sz w:val="24"/>
          <w:highlight w:val="none"/>
        </w:rPr>
        <w:t>一、基本职能及主要工作</w:t>
      </w:r>
      <w:r>
        <w:rPr>
          <w:rFonts w:hint="eastAsia"/>
          <w:sz w:val="24"/>
          <w:highlight w:val="none"/>
          <w:lang w:val="en-US" w:eastAsia="zh-CN"/>
        </w:rPr>
        <w:t>-------------------------------------------01</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sz w:val="24"/>
          <w:highlight w:val="none"/>
        </w:rPr>
        <w:t>二、机构设置</w:t>
      </w:r>
      <w:r>
        <w:rPr>
          <w:rFonts w:hint="eastAsia"/>
          <w:sz w:val="24"/>
          <w:highlight w:val="none"/>
          <w:lang w:val="en-US" w:eastAsia="zh-CN"/>
        </w:rPr>
        <w:t>----------------------------------------------------------06</w:t>
      </w:r>
    </w:p>
    <w:p>
      <w:pPr>
        <w:pStyle w:val="9"/>
        <w:adjustRightInd w:val="0"/>
        <w:snapToGrid w:val="0"/>
        <w:spacing w:before="0" w:line="440" w:lineRule="exact"/>
        <w:jc w:val="left"/>
        <w:rPr>
          <w:rFonts w:hint="default" w:eastAsia="仿宋"/>
          <w:sz w:val="24"/>
          <w:szCs w:val="24"/>
          <w:highlight w:val="none"/>
          <w:lang w:val="en-US" w:eastAsia="zh-CN"/>
        </w:rPr>
      </w:pPr>
      <w:r>
        <w:rPr>
          <w:rFonts w:hint="eastAsia"/>
          <w:sz w:val="24"/>
          <w:highlight w:val="none"/>
        </w:rPr>
        <w:t>第二部分度部门决算情况说</w:t>
      </w:r>
      <w:r>
        <w:rPr>
          <w:rFonts w:hint="eastAsia"/>
          <w:sz w:val="24"/>
          <w:highlight w:val="none"/>
          <w:lang w:val="en-US" w:eastAsia="zh-CN"/>
        </w:rPr>
        <w:t>明----------------------------07</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sz w:val="24"/>
          <w:highlight w:val="none"/>
        </w:rPr>
        <w:t>一、收入支出决算总体情况说明</w:t>
      </w:r>
      <w:r>
        <w:rPr>
          <w:rFonts w:hint="eastAsia"/>
          <w:sz w:val="24"/>
          <w:highlight w:val="none"/>
          <w:lang w:val="en-US" w:eastAsia="zh-CN"/>
        </w:rPr>
        <w:t>----------------------------------07</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sz w:val="24"/>
          <w:highlight w:val="none"/>
        </w:rPr>
        <w:t>二、收入决算情况说明</w:t>
      </w:r>
      <w:r>
        <w:rPr>
          <w:rFonts w:hint="eastAsia"/>
          <w:sz w:val="24"/>
          <w:highlight w:val="none"/>
          <w:lang w:val="en-US" w:eastAsia="zh-CN"/>
        </w:rPr>
        <w:t>----------------------------------------------07</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sz w:val="24"/>
          <w:highlight w:val="none"/>
        </w:rPr>
        <w:t>三、支出决算情况说明</w:t>
      </w:r>
      <w:r>
        <w:rPr>
          <w:rFonts w:hint="eastAsia"/>
          <w:sz w:val="24"/>
          <w:highlight w:val="none"/>
          <w:lang w:val="en-US" w:eastAsia="zh-CN"/>
        </w:rPr>
        <w:t>----------------------------------------------08</w:t>
      </w:r>
    </w:p>
    <w:p>
      <w:pPr>
        <w:pStyle w:val="10"/>
        <w:adjustRightInd w:val="0"/>
        <w:snapToGrid w:val="0"/>
        <w:spacing w:line="440" w:lineRule="exact"/>
        <w:jc w:val="left"/>
        <w:rPr>
          <w:rFonts w:hint="eastAsia"/>
          <w:sz w:val="24"/>
          <w:highlight w:val="none"/>
          <w:lang w:val="en-US" w:eastAsia="zh-CN"/>
        </w:rPr>
      </w:pPr>
      <w:r>
        <w:rPr>
          <w:rFonts w:hint="eastAsia"/>
          <w:sz w:val="24"/>
          <w:highlight w:val="none"/>
        </w:rPr>
        <w:t>四、财政拨款收入支出决算总体情况说明</w:t>
      </w:r>
      <w:r>
        <w:rPr>
          <w:rFonts w:hint="eastAsia"/>
          <w:sz w:val="24"/>
          <w:highlight w:val="none"/>
          <w:lang w:val="en-US" w:eastAsia="zh-CN"/>
        </w:rPr>
        <w:t>----------------------09</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sz w:val="24"/>
          <w:highlight w:val="none"/>
        </w:rPr>
        <w:t>五、一般公共预算财政拨款支出决算情况说明</w:t>
      </w:r>
      <w:r>
        <w:rPr>
          <w:rFonts w:hint="eastAsia"/>
          <w:sz w:val="24"/>
          <w:highlight w:val="none"/>
          <w:lang w:val="en-US" w:eastAsia="zh-CN"/>
        </w:rPr>
        <w:t>----------------10</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sz w:val="24"/>
          <w:highlight w:val="none"/>
        </w:rPr>
        <w:t>六、一般公共预算财政拨款基本支出决算情况说明</w:t>
      </w:r>
      <w:r>
        <w:rPr>
          <w:rFonts w:hint="eastAsia"/>
          <w:sz w:val="24"/>
          <w:highlight w:val="none"/>
          <w:lang w:val="en-US" w:eastAsia="zh-CN"/>
        </w:rPr>
        <w:t>----------13</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sz w:val="24"/>
          <w:highlight w:val="none"/>
        </w:rPr>
        <w:t>七、</w:t>
      </w:r>
      <w:r>
        <w:rPr>
          <w:sz w:val="24"/>
          <w:highlight w:val="none"/>
        </w:rPr>
        <w:t>“</w:t>
      </w:r>
      <w:r>
        <w:rPr>
          <w:rFonts w:hint="eastAsia"/>
          <w:sz w:val="24"/>
          <w:highlight w:val="none"/>
        </w:rPr>
        <w:t>三公”经费财政拨款支出决算情况说明</w:t>
      </w:r>
      <w:r>
        <w:rPr>
          <w:rFonts w:hint="eastAsia"/>
          <w:sz w:val="24"/>
          <w:highlight w:val="none"/>
          <w:lang w:val="en-US" w:eastAsia="zh-CN"/>
        </w:rPr>
        <w:t>------------------14</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sz w:val="24"/>
          <w:highlight w:val="none"/>
        </w:rPr>
        <w:t>八、政府性基金预算支出决算情况说明</w:t>
      </w:r>
      <w:r>
        <w:rPr>
          <w:rFonts w:hint="eastAsia"/>
          <w:sz w:val="24"/>
          <w:highlight w:val="none"/>
          <w:lang w:val="en-US" w:eastAsia="zh-CN"/>
        </w:rPr>
        <w:t>-------------------------16</w:t>
      </w:r>
    </w:p>
    <w:p>
      <w:pPr>
        <w:pStyle w:val="10"/>
        <w:adjustRightInd w:val="0"/>
        <w:snapToGrid w:val="0"/>
        <w:spacing w:line="440" w:lineRule="exact"/>
        <w:ind w:leftChars="0"/>
        <w:jc w:val="left"/>
        <w:rPr>
          <w:rFonts w:hint="default" w:ascii="仿宋" w:hAnsi="仿宋" w:eastAsia="宋体"/>
          <w:sz w:val="24"/>
          <w:highlight w:val="none"/>
          <w:lang w:val="en-US" w:eastAsia="zh-CN"/>
        </w:rPr>
      </w:pPr>
      <w:r>
        <w:rPr>
          <w:rFonts w:hint="eastAsia" w:ascii="仿宋" w:hAnsi="仿宋" w:eastAsia="仿宋"/>
          <w:sz w:val="24"/>
          <w:highlight w:val="none"/>
        </w:rPr>
        <w:t>九、</w:t>
      </w:r>
      <w:r>
        <w:rPr>
          <w:sz w:val="24"/>
          <w:highlight w:val="none"/>
        </w:rPr>
        <w:t xml:space="preserve"> 国</w:t>
      </w:r>
      <w:r>
        <w:rPr>
          <w:rFonts w:hint="eastAsia"/>
          <w:sz w:val="24"/>
          <w:highlight w:val="none"/>
        </w:rPr>
        <w:t>有资本经营预算支出决算情况说明</w:t>
      </w:r>
      <w:r>
        <w:rPr>
          <w:rFonts w:hint="eastAsia"/>
          <w:sz w:val="24"/>
          <w:highlight w:val="none"/>
          <w:lang w:val="en-US" w:eastAsia="zh-CN"/>
        </w:rPr>
        <w:t>--------------------16</w:t>
      </w:r>
    </w:p>
    <w:p>
      <w:pPr>
        <w:adjustRightInd w:val="0"/>
        <w:snapToGrid w:val="0"/>
        <w:spacing w:line="440" w:lineRule="exact"/>
        <w:ind w:firstLine="480" w:firstLineChars="200"/>
        <w:jc w:val="left"/>
        <w:rPr>
          <w:rFonts w:hint="default" w:ascii="仿宋" w:hAnsi="仿宋" w:eastAsia="仿宋" w:cstheme="minorBidi"/>
          <w:sz w:val="24"/>
          <w:highlight w:val="none"/>
          <w:lang w:val="en-US" w:eastAsia="zh-CN"/>
        </w:rPr>
      </w:pPr>
      <w:r>
        <w:rPr>
          <w:rStyle w:val="15"/>
          <w:rFonts w:hint="eastAsia" w:ascii="仿宋" w:hAnsi="仿宋" w:eastAsia="仿宋"/>
          <w:color w:val="000000" w:themeColor="text1"/>
          <w:sz w:val="24"/>
          <w:highlight w:val="none"/>
          <w:u w:val="none"/>
          <w14:textFill>
            <w14:solidFill>
              <w14:schemeClr w14:val="tx1"/>
            </w14:solidFill>
          </w14:textFill>
        </w:rPr>
        <w:t>十、</w:t>
      </w:r>
      <w:r>
        <w:rPr>
          <w:rFonts w:hint="eastAsia"/>
          <w:sz w:val="24"/>
          <w:highlight w:val="none"/>
        </w:rPr>
        <w:t>其他重要事项的情况说明</w:t>
      </w:r>
      <w:r>
        <w:rPr>
          <w:rFonts w:hint="eastAsia"/>
          <w:sz w:val="24"/>
          <w:highlight w:val="none"/>
          <w:lang w:val="en-US" w:eastAsia="zh-CN"/>
        </w:rPr>
        <w:t>------------------------------------</w:t>
      </w:r>
      <w:r>
        <w:rPr>
          <w:rFonts w:hint="eastAsia" w:ascii="仿宋" w:hAnsi="仿宋" w:eastAsia="仿宋"/>
          <w:sz w:val="24"/>
          <w:highlight w:val="none"/>
          <w:lang w:val="en-US" w:eastAsia="zh-CN"/>
        </w:rPr>
        <w:t>16</w:t>
      </w:r>
    </w:p>
    <w:p>
      <w:pPr>
        <w:pStyle w:val="9"/>
        <w:adjustRightInd w:val="0"/>
        <w:snapToGrid w:val="0"/>
        <w:spacing w:before="0" w:line="440" w:lineRule="exact"/>
        <w:jc w:val="left"/>
        <w:rPr>
          <w:rFonts w:hint="default" w:eastAsia="仿宋" w:cstheme="minorBidi"/>
          <w:sz w:val="24"/>
          <w:szCs w:val="24"/>
          <w:highlight w:val="none"/>
          <w:lang w:val="en-US" w:eastAsia="zh-CN"/>
        </w:rPr>
      </w:pPr>
      <w:r>
        <w:rPr>
          <w:rFonts w:hint="eastAsia"/>
          <w:sz w:val="24"/>
          <w:highlight w:val="none"/>
        </w:rPr>
        <w:t>第三部分</w:t>
      </w:r>
      <w:r>
        <w:rPr>
          <w:sz w:val="24"/>
          <w:highlight w:val="none"/>
        </w:rPr>
        <w:t xml:space="preserve"> </w:t>
      </w:r>
      <w:r>
        <w:rPr>
          <w:rFonts w:hint="eastAsia"/>
          <w:sz w:val="24"/>
          <w:highlight w:val="none"/>
        </w:rPr>
        <w:t>名词解释</w:t>
      </w:r>
      <w:r>
        <w:rPr>
          <w:rFonts w:hint="eastAsia"/>
          <w:sz w:val="24"/>
          <w:highlight w:val="none"/>
          <w:lang w:val="en-US" w:eastAsia="zh-CN"/>
        </w:rPr>
        <w:t>-------------------------------------22</w:t>
      </w:r>
    </w:p>
    <w:p>
      <w:pPr>
        <w:pStyle w:val="9"/>
        <w:adjustRightInd w:val="0"/>
        <w:snapToGrid w:val="0"/>
        <w:spacing w:before="0" w:line="440" w:lineRule="exact"/>
        <w:jc w:val="left"/>
        <w:rPr>
          <w:rFonts w:hint="default" w:eastAsia="仿宋" w:cstheme="minorBidi"/>
          <w:sz w:val="24"/>
          <w:szCs w:val="24"/>
          <w:highlight w:val="none"/>
          <w:lang w:val="en-US" w:eastAsia="zh-CN"/>
        </w:rPr>
      </w:pPr>
      <w:r>
        <w:rPr>
          <w:rFonts w:hint="eastAsia"/>
          <w:sz w:val="24"/>
          <w:highlight w:val="none"/>
        </w:rPr>
        <w:t>第四部分</w:t>
      </w:r>
      <w:r>
        <w:rPr>
          <w:sz w:val="24"/>
          <w:highlight w:val="none"/>
        </w:rPr>
        <w:t xml:space="preserve"> </w:t>
      </w:r>
      <w:r>
        <w:rPr>
          <w:rFonts w:hint="eastAsia"/>
          <w:sz w:val="24"/>
          <w:highlight w:val="none"/>
        </w:rPr>
        <w:t>附件</w:t>
      </w:r>
      <w:r>
        <w:rPr>
          <w:rFonts w:hint="eastAsia"/>
          <w:sz w:val="24"/>
          <w:highlight w:val="none"/>
          <w:lang w:val="en-US" w:eastAsia="zh-CN"/>
        </w:rPr>
        <w:t>-----------------------------------------25</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sz w:val="24"/>
          <w:highlight w:val="none"/>
        </w:rPr>
        <w:t>附件</w:t>
      </w:r>
      <w:r>
        <w:rPr>
          <w:sz w:val="24"/>
          <w:highlight w:val="none"/>
        </w:rPr>
        <w:t>1</w:t>
      </w:r>
      <w:r>
        <w:rPr>
          <w:rFonts w:hint="eastAsia"/>
          <w:sz w:val="24"/>
          <w:highlight w:val="none"/>
          <w:lang w:val="en-US" w:eastAsia="zh-CN"/>
        </w:rPr>
        <w:t>--------------------------------------------------------------------25</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sz w:val="24"/>
          <w:highlight w:val="none"/>
        </w:rPr>
        <w:t>附件</w:t>
      </w:r>
      <w:r>
        <w:rPr>
          <w:sz w:val="24"/>
          <w:highlight w:val="none"/>
        </w:rPr>
        <w:t>2</w:t>
      </w:r>
      <w:r>
        <w:rPr>
          <w:rFonts w:hint="eastAsia"/>
          <w:sz w:val="24"/>
          <w:highlight w:val="none"/>
          <w:lang w:val="en-US" w:eastAsia="zh-CN"/>
        </w:rPr>
        <w:t>--------------------------------------------------------------------31</w:t>
      </w:r>
    </w:p>
    <w:p>
      <w:pPr>
        <w:pStyle w:val="9"/>
        <w:adjustRightInd w:val="0"/>
        <w:snapToGrid w:val="0"/>
        <w:spacing w:before="0" w:line="440" w:lineRule="exact"/>
        <w:jc w:val="left"/>
        <w:rPr>
          <w:rFonts w:hint="default" w:eastAsia="仿宋" w:cstheme="minorBidi"/>
          <w:sz w:val="24"/>
          <w:szCs w:val="24"/>
          <w:highlight w:val="none"/>
          <w:lang w:val="en-US" w:eastAsia="zh-CN"/>
        </w:rPr>
      </w:pPr>
      <w:r>
        <w:rPr>
          <w:rFonts w:hint="eastAsia"/>
          <w:sz w:val="24"/>
          <w:highlight w:val="none"/>
        </w:rPr>
        <w:t>第五部分</w:t>
      </w:r>
      <w:r>
        <w:rPr>
          <w:sz w:val="24"/>
          <w:highlight w:val="none"/>
        </w:rPr>
        <w:t xml:space="preserve"> </w:t>
      </w:r>
      <w:r>
        <w:rPr>
          <w:rFonts w:hint="eastAsia"/>
          <w:sz w:val="24"/>
          <w:highlight w:val="none"/>
        </w:rPr>
        <w:t>附表</w:t>
      </w:r>
      <w:r>
        <w:rPr>
          <w:rFonts w:hint="eastAsia"/>
          <w:sz w:val="24"/>
          <w:highlight w:val="none"/>
          <w:lang w:val="en-US" w:eastAsia="zh-CN"/>
        </w:rPr>
        <w:t>-----------------------------------------32</w:t>
      </w:r>
    </w:p>
    <w:p>
      <w:pPr>
        <w:pStyle w:val="10"/>
        <w:adjustRightInd w:val="0"/>
        <w:snapToGrid w:val="0"/>
        <w:spacing w:line="440" w:lineRule="exact"/>
        <w:jc w:val="left"/>
        <w:rPr>
          <w:rFonts w:hint="default"/>
          <w:sz w:val="24"/>
          <w:highlight w:val="none"/>
          <w:lang w:val="en-US" w:eastAsia="zh-CN"/>
        </w:rPr>
      </w:pPr>
      <w:r>
        <w:rPr>
          <w:rFonts w:hint="eastAsia"/>
          <w:sz w:val="24"/>
          <w:highlight w:val="none"/>
        </w:rPr>
        <w:t>一、收入支出决算总表</w:t>
      </w:r>
      <w:r>
        <w:rPr>
          <w:rFonts w:hint="eastAsia"/>
          <w:sz w:val="24"/>
          <w:highlight w:val="none"/>
          <w:lang w:val="en-US" w:eastAsia="zh-CN"/>
        </w:rPr>
        <w:t>---------------------------------------------32</w:t>
      </w:r>
    </w:p>
    <w:p>
      <w:pPr>
        <w:pStyle w:val="10"/>
        <w:adjustRightInd w:val="0"/>
        <w:snapToGrid w:val="0"/>
        <w:spacing w:line="440" w:lineRule="exact"/>
        <w:jc w:val="left"/>
        <w:rPr>
          <w:rFonts w:hint="default"/>
          <w:sz w:val="24"/>
          <w:highlight w:val="none"/>
          <w:lang w:val="en-US" w:eastAsia="zh-CN"/>
        </w:rPr>
      </w:pPr>
      <w:r>
        <w:rPr>
          <w:rFonts w:hint="eastAsia"/>
          <w:sz w:val="24"/>
          <w:highlight w:val="none"/>
        </w:rPr>
        <w:t>二、收入决算表</w:t>
      </w:r>
      <w:r>
        <w:rPr>
          <w:rFonts w:hint="eastAsia"/>
          <w:sz w:val="24"/>
          <w:highlight w:val="none"/>
          <w:lang w:val="en-US" w:eastAsia="zh-CN"/>
        </w:rPr>
        <w:t>------------------------------------------------------33</w:t>
      </w:r>
    </w:p>
    <w:p>
      <w:pPr>
        <w:pStyle w:val="10"/>
        <w:adjustRightInd w:val="0"/>
        <w:snapToGrid w:val="0"/>
        <w:spacing w:line="440" w:lineRule="exact"/>
        <w:jc w:val="left"/>
        <w:rPr>
          <w:rFonts w:hint="default"/>
          <w:sz w:val="24"/>
          <w:highlight w:val="none"/>
          <w:lang w:val="en-US" w:eastAsia="zh-CN"/>
        </w:rPr>
      </w:pPr>
      <w:r>
        <w:rPr>
          <w:rFonts w:hint="eastAsia"/>
          <w:sz w:val="24"/>
          <w:highlight w:val="none"/>
        </w:rPr>
        <w:t>三、支出决算表</w:t>
      </w:r>
      <w:r>
        <w:rPr>
          <w:rFonts w:hint="eastAsia"/>
          <w:sz w:val="24"/>
          <w:highlight w:val="none"/>
          <w:lang w:val="en-US" w:eastAsia="zh-CN"/>
        </w:rPr>
        <w:t>------------------------------------------------------34</w:t>
      </w:r>
    </w:p>
    <w:p>
      <w:pPr>
        <w:pStyle w:val="10"/>
        <w:adjustRightInd w:val="0"/>
        <w:snapToGrid w:val="0"/>
        <w:spacing w:line="440" w:lineRule="exact"/>
        <w:jc w:val="left"/>
        <w:rPr>
          <w:rFonts w:hint="default"/>
          <w:sz w:val="24"/>
          <w:highlight w:val="none"/>
          <w:lang w:val="en-US" w:eastAsia="zh-CN"/>
        </w:rPr>
      </w:pPr>
      <w:r>
        <w:rPr>
          <w:rFonts w:hint="eastAsia"/>
          <w:sz w:val="24"/>
          <w:highlight w:val="none"/>
        </w:rPr>
        <w:t>四、财政拨款收入支出决算总表</w:t>
      </w:r>
      <w:r>
        <w:rPr>
          <w:rFonts w:hint="eastAsia"/>
          <w:sz w:val="24"/>
          <w:highlight w:val="none"/>
          <w:lang w:val="en-US" w:eastAsia="zh-CN"/>
        </w:rPr>
        <w:t>---------------------------------35</w:t>
      </w:r>
    </w:p>
    <w:p>
      <w:pPr>
        <w:pStyle w:val="10"/>
        <w:adjustRightInd w:val="0"/>
        <w:snapToGrid w:val="0"/>
        <w:spacing w:line="440" w:lineRule="exact"/>
        <w:jc w:val="left"/>
        <w:rPr>
          <w:rFonts w:hint="default"/>
          <w:sz w:val="24"/>
          <w:highlight w:val="none"/>
          <w:lang w:val="en-US" w:eastAsia="zh-CN"/>
        </w:rPr>
      </w:pPr>
      <w:r>
        <w:rPr>
          <w:rFonts w:hint="eastAsia"/>
          <w:sz w:val="24"/>
          <w:highlight w:val="none"/>
        </w:rPr>
        <w:t>五、财政拨款支出决算明细表</w:t>
      </w:r>
      <w:r>
        <w:rPr>
          <w:rFonts w:hint="eastAsia"/>
          <w:sz w:val="24"/>
          <w:highlight w:val="none"/>
          <w:lang w:val="en-US" w:eastAsia="zh-CN"/>
        </w:rPr>
        <w:t>------------------------------------36</w:t>
      </w:r>
    </w:p>
    <w:p>
      <w:pPr>
        <w:pStyle w:val="10"/>
        <w:adjustRightInd w:val="0"/>
        <w:snapToGrid w:val="0"/>
        <w:spacing w:line="440" w:lineRule="exact"/>
        <w:jc w:val="left"/>
        <w:rPr>
          <w:rFonts w:hint="default"/>
          <w:sz w:val="24"/>
          <w:highlight w:val="none"/>
          <w:lang w:val="en-US" w:eastAsia="zh-CN"/>
        </w:rPr>
      </w:pPr>
      <w:r>
        <w:rPr>
          <w:rFonts w:hint="eastAsia"/>
          <w:sz w:val="24"/>
          <w:highlight w:val="none"/>
        </w:rPr>
        <w:t>六、一般公共预算财政拨款支出决算表</w:t>
      </w:r>
      <w:r>
        <w:rPr>
          <w:rFonts w:hint="eastAsia"/>
          <w:sz w:val="24"/>
          <w:highlight w:val="none"/>
          <w:lang w:val="en-US" w:eastAsia="zh-CN"/>
        </w:rPr>
        <w:t>------------------------38</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sz w:val="24"/>
          <w:highlight w:val="none"/>
        </w:rPr>
        <w:t>七、一般公共预算财政拨款支出决算明细表</w:t>
      </w:r>
      <w:r>
        <w:rPr>
          <w:rFonts w:hint="eastAsia"/>
          <w:sz w:val="24"/>
          <w:highlight w:val="none"/>
          <w:lang w:val="en-US" w:eastAsia="zh-CN"/>
        </w:rPr>
        <w:t>------------------39</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ascii="仿宋" w:hAnsi="仿宋" w:eastAsia="仿宋"/>
          <w:sz w:val="24"/>
          <w:highlight w:val="none"/>
        </w:rPr>
        <w:t>八、</w:t>
      </w:r>
      <w:r>
        <w:rPr>
          <w:rFonts w:hint="eastAsia"/>
          <w:sz w:val="24"/>
          <w:highlight w:val="none"/>
        </w:rPr>
        <w:t>一般公共预算财政拨款基本支出决算表</w:t>
      </w:r>
      <w:r>
        <w:rPr>
          <w:rFonts w:hint="eastAsia"/>
          <w:sz w:val="24"/>
          <w:highlight w:val="none"/>
          <w:lang w:val="en-US" w:eastAsia="zh-CN"/>
        </w:rPr>
        <w:t>-----------------</w:t>
      </w:r>
      <w:bookmarkStart w:id="59" w:name="_GoBack"/>
      <w:bookmarkEnd w:id="59"/>
      <w:r>
        <w:rPr>
          <w:rFonts w:hint="eastAsia"/>
          <w:sz w:val="24"/>
          <w:highlight w:val="none"/>
          <w:lang w:val="en-US" w:eastAsia="zh-CN"/>
        </w:rPr>
        <w:t>--41</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ascii="仿宋" w:hAnsi="仿宋" w:eastAsia="仿宋"/>
          <w:sz w:val="24"/>
          <w:highlight w:val="none"/>
        </w:rPr>
        <w:t>九、</w:t>
      </w:r>
      <w:r>
        <w:rPr>
          <w:rFonts w:hint="eastAsia"/>
          <w:sz w:val="24"/>
          <w:highlight w:val="none"/>
        </w:rPr>
        <w:t>一般公共预算财政拨款项目支出决算表</w:t>
      </w:r>
      <w:r>
        <w:rPr>
          <w:rFonts w:hint="eastAsia"/>
          <w:sz w:val="24"/>
          <w:highlight w:val="none"/>
          <w:lang w:val="en-US" w:eastAsia="zh-CN"/>
        </w:rPr>
        <w:t>-------------------42</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ascii="仿宋" w:hAnsi="仿宋" w:eastAsia="仿宋"/>
          <w:sz w:val="24"/>
          <w:highlight w:val="none"/>
        </w:rPr>
        <w:t>十、</w:t>
      </w:r>
      <w:r>
        <w:rPr>
          <w:rFonts w:hint="eastAsia"/>
          <w:sz w:val="24"/>
          <w:highlight w:val="none"/>
        </w:rPr>
        <w:t>一般公共预算财政拨款“三公”经费支出决算表</w:t>
      </w:r>
      <w:r>
        <w:rPr>
          <w:rFonts w:hint="eastAsia"/>
          <w:sz w:val="24"/>
          <w:highlight w:val="none"/>
          <w:lang w:val="en-US" w:eastAsia="zh-CN"/>
        </w:rPr>
        <w:t>-------43</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ascii="仿宋" w:hAnsi="仿宋" w:eastAsia="仿宋"/>
          <w:sz w:val="24"/>
          <w:highlight w:val="none"/>
        </w:rPr>
        <w:t>十一、</w:t>
      </w:r>
      <w:r>
        <w:rPr>
          <w:rFonts w:hint="eastAsia"/>
          <w:sz w:val="24"/>
          <w:highlight w:val="none"/>
        </w:rPr>
        <w:t>政府性基金预算财政拨款收入支出决算表</w:t>
      </w:r>
      <w:r>
        <w:rPr>
          <w:rFonts w:hint="eastAsia"/>
          <w:sz w:val="24"/>
          <w:highlight w:val="none"/>
          <w:lang w:val="en-US" w:eastAsia="zh-CN"/>
        </w:rPr>
        <w:t>-------------44</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ascii="仿宋" w:hAnsi="仿宋" w:eastAsia="仿宋"/>
          <w:sz w:val="24"/>
          <w:highlight w:val="none"/>
        </w:rPr>
        <w:t>十二、</w:t>
      </w:r>
      <w:r>
        <w:rPr>
          <w:rFonts w:hint="eastAsia"/>
          <w:sz w:val="24"/>
          <w:highlight w:val="none"/>
        </w:rPr>
        <w:t>政府性基金预算财政拨款“三公”经费支出决算表</w:t>
      </w:r>
      <w:r>
        <w:rPr>
          <w:rFonts w:hint="eastAsia"/>
          <w:sz w:val="24"/>
          <w:highlight w:val="none"/>
          <w:lang w:val="en-US" w:eastAsia="zh-CN"/>
        </w:rPr>
        <w:t>-45</w:t>
      </w:r>
    </w:p>
    <w:p>
      <w:pPr>
        <w:pStyle w:val="10"/>
        <w:adjustRightInd w:val="0"/>
        <w:snapToGrid w:val="0"/>
        <w:spacing w:line="440" w:lineRule="exact"/>
        <w:jc w:val="left"/>
        <w:rPr>
          <w:rFonts w:hint="default" w:ascii="仿宋" w:hAnsi="仿宋" w:eastAsia="宋体" w:cstheme="minorBidi"/>
          <w:sz w:val="24"/>
          <w:highlight w:val="none"/>
          <w:lang w:val="en-US" w:eastAsia="zh-CN"/>
        </w:rPr>
      </w:pPr>
      <w:r>
        <w:rPr>
          <w:rFonts w:hint="eastAsia" w:ascii="仿宋" w:hAnsi="仿宋" w:eastAsia="仿宋"/>
          <w:sz w:val="24"/>
          <w:highlight w:val="none"/>
        </w:rPr>
        <w:t>十三、</w:t>
      </w:r>
      <w:r>
        <w:rPr>
          <w:rFonts w:hint="eastAsia"/>
          <w:sz w:val="24"/>
          <w:highlight w:val="none"/>
        </w:rPr>
        <w:t>国有资本经营预算支出决算表</w:t>
      </w:r>
      <w:r>
        <w:rPr>
          <w:rFonts w:hint="eastAsia"/>
          <w:sz w:val="24"/>
          <w:highlight w:val="none"/>
          <w:lang w:val="en-US" w:eastAsia="zh-CN"/>
        </w:rPr>
        <w:t>----------------------------46</w:t>
      </w:r>
    </w:p>
    <w:p>
      <w:pPr>
        <w:widowControl/>
        <w:spacing w:line="440" w:lineRule="exact"/>
        <w:jc w:val="left"/>
        <w:rPr>
          <w:rFonts w:ascii="仿宋" w:hAnsi="仿宋" w:eastAsia="仿宋"/>
          <w:bCs/>
          <w:kern w:val="44"/>
          <w:sz w:val="24"/>
          <w:highlight w:val="green"/>
        </w:rPr>
      </w:pPr>
      <w:bookmarkStart w:id="12" w:name="_Toc15396599"/>
      <w:bookmarkStart w:id="13" w:name="_Toc15377196"/>
      <w:r>
        <w:rPr>
          <w:rFonts w:ascii="仿宋" w:hAnsi="仿宋" w:eastAsia="仿宋"/>
          <w:b/>
          <w:sz w:val="24"/>
          <w:highlight w:val="green"/>
        </w:rPr>
        <w:br w:type="page"/>
      </w:r>
    </w:p>
    <w:p>
      <w:pPr>
        <w:pStyle w:val="4"/>
        <w:jc w:val="center"/>
        <w:rPr>
          <w:rStyle w:val="16"/>
          <w:rFonts w:ascii="黑体" w:hAnsi="黑体" w:eastAsia="黑体"/>
          <w:b/>
          <w:bCs w:val="0"/>
          <w:highlight w:val="none"/>
        </w:rPr>
      </w:pPr>
      <w:r>
        <w:rPr>
          <w:rFonts w:hint="eastAsia" w:ascii="黑体" w:hAnsi="黑体" w:eastAsia="黑体"/>
          <w:b w:val="0"/>
          <w:highlight w:val="none"/>
        </w:rPr>
        <w:t xml:space="preserve">第一部分 </w:t>
      </w:r>
      <w:r>
        <w:rPr>
          <w:rStyle w:val="16"/>
          <w:rFonts w:hint="eastAsia" w:ascii="黑体" w:hAnsi="黑体" w:eastAsia="黑体"/>
          <w:b w:val="0"/>
          <w:bCs w:val="0"/>
          <w:highlight w:val="none"/>
        </w:rPr>
        <w:t>部门概况</w:t>
      </w:r>
      <w:bookmarkEnd w:id="12"/>
      <w:bookmarkEnd w:id="13"/>
    </w:p>
    <w:p>
      <w:pPr>
        <w:widowControl/>
        <w:jc w:val="left"/>
        <w:rPr>
          <w:rFonts w:ascii="黑体" w:eastAsia="黑体"/>
          <w:color w:val="000000"/>
          <w:sz w:val="32"/>
          <w:szCs w:val="32"/>
          <w:highlight w:val="none"/>
        </w:rPr>
      </w:pPr>
    </w:p>
    <w:p>
      <w:pPr>
        <w:pStyle w:val="5"/>
        <w:rPr>
          <w:rStyle w:val="17"/>
          <w:rFonts w:ascii="仿宋" w:hAnsi="仿宋" w:eastAsia="仿宋"/>
          <w:b w:val="0"/>
          <w:bCs w:val="0"/>
          <w:highlight w:val="none"/>
        </w:rPr>
      </w:pPr>
      <w:bookmarkStart w:id="14" w:name="_Toc15396600"/>
      <w:bookmarkStart w:id="15" w:name="_Toc15377197"/>
      <w:r>
        <w:rPr>
          <w:rFonts w:hint="eastAsia" w:ascii="黑体" w:hAnsi="黑体" w:eastAsia="黑体"/>
          <w:b w:val="0"/>
          <w:color w:val="000000"/>
          <w:highlight w:val="none"/>
        </w:rPr>
        <w:t>一、基</w:t>
      </w:r>
      <w:r>
        <w:rPr>
          <w:rStyle w:val="17"/>
          <w:rFonts w:hint="eastAsia" w:ascii="黑体" w:hAnsi="黑体" w:eastAsia="黑体"/>
          <w:b w:val="0"/>
          <w:bCs w:val="0"/>
          <w:highlight w:val="none"/>
        </w:rPr>
        <w:t>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highlight w:val="none"/>
        </w:rPr>
      </w:pPr>
      <w:bookmarkStart w:id="16" w:name="_Toc15378445"/>
      <w:bookmarkStart w:id="17" w:name="_Toc15377198"/>
      <w:r>
        <w:rPr>
          <w:rFonts w:hint="eastAsia" w:ascii="仿宋" w:hAnsi="仿宋" w:eastAsia="仿宋"/>
          <w:bCs/>
          <w:color w:val="000000"/>
          <w:sz w:val="32"/>
          <w:szCs w:val="32"/>
          <w:highlight w:val="none"/>
        </w:rPr>
        <w:t>（一）主要职能。</w:t>
      </w:r>
      <w:bookmarkEnd w:id="16"/>
      <w:bookmarkEnd w:id="17"/>
      <w:bookmarkStart w:id="18" w:name="_Toc15378446"/>
      <w:bookmarkStart w:id="19" w:name="_Toc15377199"/>
    </w:p>
    <w:p>
      <w:pPr>
        <w:snapToGrid w:val="0"/>
        <w:spacing w:line="520" w:lineRule="exact"/>
        <w:ind w:firstLine="640" w:firstLineChars="200"/>
        <w:rPr>
          <w:rFonts w:hint="eastAsia" w:ascii="仿宋" w:hAnsi="仿宋" w:eastAsia="仿宋"/>
          <w:bCs/>
          <w:color w:val="000000"/>
          <w:sz w:val="32"/>
          <w:szCs w:val="32"/>
          <w:highlight w:val="none"/>
        </w:rPr>
      </w:pPr>
      <w:r>
        <w:rPr>
          <w:rFonts w:hint="eastAsia" w:ascii="仿宋_GB2312" w:hAnsi="仿宋" w:eastAsia="仿宋_GB2312"/>
          <w:sz w:val="32"/>
          <w:szCs w:val="32"/>
          <w:highlight w:val="none"/>
        </w:rPr>
        <w:t>负责州本级基本医疗（生育）保险全民参保登记、关系转移接续、个人权益记录及缴费情况稽核工作；负责州本级参保人员门特病种认定、医疗保险（生育）保险待遇审核及支付工作；负责州本级职工基本医疗保险、大病医疗保险及补充医疗保险基金的筹集、使用和管理；负责全州申请纳入协议管理医药机构的现场评估以及协议管理医药机构的监管、医疗费用的稽查工作；负责全州医保扶贫、医疗救助、疾病应急救助基金使用的指导、监督和管理工作；负责全州基本医疗保险（生育保险）的经办指导工作。</w:t>
      </w:r>
    </w:p>
    <w:p>
      <w:pPr>
        <w:pStyle w:val="6"/>
        <w:adjustRightInd w:val="0"/>
        <w:snapToGrid w:val="0"/>
        <w:spacing w:before="93" w:line="600" w:lineRule="exact"/>
        <w:ind w:firstLine="672" w:firstLineChars="210"/>
        <w:outlineLvl w:val="2"/>
        <w:rPr>
          <w:rFonts w:hint="eastAsia" w:ascii="仿宋" w:hAnsi="仿宋" w:eastAsia="仿宋"/>
          <w:bCs/>
          <w:color w:val="000000"/>
          <w:sz w:val="32"/>
          <w:szCs w:val="32"/>
          <w:highlight w:val="none"/>
        </w:rPr>
      </w:pPr>
      <w:r>
        <w:rPr>
          <w:rFonts w:hint="eastAsia" w:ascii="仿宋" w:hAnsi="仿宋" w:eastAsia="仿宋"/>
          <w:bCs/>
          <w:color w:val="000000"/>
          <w:sz w:val="32"/>
          <w:szCs w:val="32"/>
          <w:highlight w:val="none"/>
        </w:rPr>
        <w:t>（二）</w:t>
      </w:r>
      <w:r>
        <w:rPr>
          <w:rFonts w:ascii="仿宋" w:hAnsi="仿宋" w:eastAsia="仿宋"/>
          <w:bCs/>
          <w:color w:val="000000"/>
          <w:sz w:val="32"/>
          <w:szCs w:val="32"/>
          <w:highlight w:val="none"/>
        </w:rPr>
        <w:t>201</w:t>
      </w:r>
      <w:r>
        <w:rPr>
          <w:rFonts w:hint="eastAsia" w:ascii="仿宋" w:hAnsi="仿宋" w:eastAsia="仿宋"/>
          <w:bCs/>
          <w:color w:val="000000"/>
          <w:sz w:val="32"/>
          <w:szCs w:val="32"/>
          <w:highlight w:val="none"/>
        </w:rPr>
        <w:t>9年重点工作完成情况。</w:t>
      </w:r>
      <w:bookmarkEnd w:id="18"/>
      <w:bookmarkEnd w:id="19"/>
    </w:p>
    <w:p>
      <w:pPr>
        <w:snapToGrid w:val="0"/>
        <w:spacing w:line="520" w:lineRule="exact"/>
        <w:ind w:firstLine="640" w:firstLineChars="200"/>
        <w:rPr>
          <w:rFonts w:ascii="仿宋_GB2312" w:hAnsi="仿宋" w:eastAsia="仿宋_GB2312"/>
          <w:sz w:val="32"/>
          <w:szCs w:val="32"/>
        </w:rPr>
      </w:pPr>
      <w:bookmarkStart w:id="20" w:name="_Toc15396601"/>
      <w:bookmarkStart w:id="21" w:name="_Toc15377200"/>
      <w:r>
        <w:rPr>
          <w:rFonts w:hint="eastAsia" w:ascii="仿宋_GB2312" w:hAnsi="仿宋" w:eastAsia="仿宋_GB2312"/>
          <w:sz w:val="32"/>
          <w:szCs w:val="32"/>
          <w:lang w:val="en-US" w:eastAsia="zh-CN"/>
        </w:rPr>
        <w:t>1.</w:t>
      </w:r>
      <w:r>
        <w:rPr>
          <w:rFonts w:hint="eastAsia" w:ascii="仿宋_GB2312" w:hAnsi="仿宋" w:eastAsia="仿宋_GB2312"/>
          <w:sz w:val="32"/>
          <w:szCs w:val="32"/>
        </w:rPr>
        <w:t>完善基本医保制度体系，提高保障能力。一是完善职工、城乡居民基本医疗保险等“四办法一方案”医疗保障政策，“两病”政策落地落实，提升待遇保障水平。二是出台《关于贯彻落实降低社会保险费的通知》，职工基本医保全年降费3787.78万元。三是完善医疗救助政策，将建档立卡贫困人口、重症病人等纳入救助范围，提高救助比例，加大救助力度。四是出台《关于国家谈判药品和部分高值药品支付管理的通知》，规范国家医保谈判药品分类管理，“4+7”招采工作顺利推进。五是出台《汶川“8.20”强降雨特大山洪泥石流灾害医疗保障七项措施》，确保因灾受伤参保群众医疗有保障。</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截止12月底,全州参加基本医疗保险86.7万人，其中，职工参保15.73万人，城乡居民参保70.97万人，参保率稳定在97%以上。全州职工基本医疗保险收入89467.5万元，支出51327万元；城乡居民基本医疗保险收入52429.29万元，支出49592.57万元；生育保险基金收入1063.55万元，支出1183.48万元。</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做好医疗保障扶贫工作，助推脱贫攻坚。严格落实《医疗保障扶贫三年行动实施方案（2018—2020年）》，完善医保扶贫“一站式”报销服务网络平台，开展医保扶贫回头看大排查，建档立卡贫困人口基本医保、大病保险、医疗救助覆盖率达到100%，大病保险起付线降低50%，支付比例提高5个百分点。截止12月底，建档立卡贫困人口住院18376人、27018人次，医疗费用总额18021.19万元，各类基金报销共16262.51万元，报销比达90.24%。</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3.</w:t>
      </w:r>
      <w:r>
        <w:rPr>
          <w:rFonts w:hint="eastAsia" w:ascii="仿宋_GB2312" w:hAnsi="仿宋" w:eastAsia="仿宋_GB2312"/>
          <w:sz w:val="32"/>
          <w:szCs w:val="32"/>
        </w:rPr>
        <w:t>强化医疗保障基金监管，筑牢安全防线。一是联合卫健、市场监管等部门，开展医保基金专项治理，截止12月底，查处骗取医疗保险基金的违法事例4例,按程序移送司法机关2人，暂停医药机构协议7家，收缴违规金额共计106.53万元。二是修订阿坝州定点医药机构考核和评估办法，通过评审将12家医药机构纳入协议管理。三是制定《阿坝州欺诈骗取医疗保障基金行为举报奖励暂行办法》，落实举报奖励政策。四是与成都局签订了《深入推进成都与川西北生态经济区医疗保障事业协同发展战略协议》，加强区域联动，共谋民生保障。五是应用信息化手段，利用大数据开展医疗监管，截止2019年底，全州基本医疗保险通过智能审核监控系统发现并扣除定点医疗机构违规费用23.99万元。</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4.</w:t>
      </w:r>
      <w:r>
        <w:rPr>
          <w:rFonts w:hint="eastAsia" w:ascii="仿宋_GB2312" w:hAnsi="仿宋" w:eastAsia="仿宋_GB2312"/>
          <w:sz w:val="32"/>
          <w:szCs w:val="32"/>
        </w:rPr>
        <w:t>完善公共服务体系，提升服务能力。一是实现异地联网即时结算县级全覆盖，利用手机APP、微信等多种方式优化异地就医备案登记。截止12月底，我州参保人员异地住院直接结算5.5万人次，医保基金支付4.01亿元。二是推进个人账户家庭共济使用。截止12月底，职工个人账户为全州2591人次的参保群众共济支付医疗费用79.7万元。三是积极推进支付方式改革。在全州6家医疗机构开展108个单病种结算试点。四是积极推进“最多跑一次”改革，深入推进“放管服”改革，制定医疗保障政务服务事项清单，梳理服务事项7个大项25个子项，取消医疗保险职工参保登记等证明材料5项。五是退役军人医保接续工作实行每日通报，接续进度名列全省前列。</w:t>
      </w:r>
    </w:p>
    <w:p>
      <w:pPr>
        <w:pStyle w:val="5"/>
        <w:rPr>
          <w:rStyle w:val="17"/>
          <w:b w:val="0"/>
          <w:bCs w:val="0"/>
          <w:highlight w:val="none"/>
        </w:rPr>
      </w:pPr>
      <w:r>
        <w:rPr>
          <w:rFonts w:hint="eastAsia" w:ascii="黑体" w:eastAsia="黑体"/>
          <w:b w:val="0"/>
          <w:color w:val="000000"/>
          <w:highlight w:val="none"/>
        </w:rPr>
        <w:t>二、</w:t>
      </w:r>
      <w:r>
        <w:rPr>
          <w:rFonts w:hint="eastAsia" w:ascii="黑体" w:hAnsi="黑体" w:eastAsia="黑体"/>
          <w:b w:val="0"/>
          <w:color w:val="000000"/>
          <w:highlight w:val="none"/>
        </w:rPr>
        <w:t>机</w:t>
      </w:r>
      <w:r>
        <w:rPr>
          <w:rStyle w:val="17"/>
          <w:rFonts w:hint="eastAsia" w:ascii="黑体" w:hAnsi="黑体" w:eastAsia="黑体"/>
          <w:b w:val="0"/>
          <w:bCs w:val="0"/>
          <w:highlight w:val="none"/>
        </w:rPr>
        <w:t>构设置</w:t>
      </w:r>
      <w:bookmarkEnd w:id="20"/>
      <w:bookmarkEnd w:id="21"/>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阿坝州医疗保障事务中心属阿坝州医疗保障局下设参公事业单位，内设办公室、统筹科、审核计算科、异地就医结算科、城乡居民与生育保险科、基金管理科、医药服务科、审计稽核科、统计分析科。  </w:t>
      </w:r>
    </w:p>
    <w:p>
      <w:pPr>
        <w:ind w:firstLine="800" w:firstLineChars="250"/>
        <w:rPr>
          <w:rFonts w:ascii="仿宋" w:hAnsi="仿宋" w:eastAsia="仿宋"/>
          <w:sz w:val="32"/>
          <w:szCs w:val="32"/>
          <w:highlight w:val="green"/>
        </w:rPr>
      </w:pPr>
    </w:p>
    <w:p>
      <w:pPr>
        <w:widowControl/>
        <w:jc w:val="left"/>
        <w:rPr>
          <w:rFonts w:ascii="仿宋" w:hAnsi="仿宋" w:eastAsia="仿宋"/>
          <w:color w:val="000000"/>
          <w:kern w:val="0"/>
          <w:sz w:val="32"/>
          <w:szCs w:val="32"/>
          <w:highlight w:val="green"/>
        </w:rPr>
      </w:pPr>
      <w:r>
        <w:rPr>
          <w:rFonts w:ascii="仿宋" w:hAnsi="仿宋" w:eastAsia="仿宋"/>
          <w:color w:val="000000"/>
          <w:sz w:val="32"/>
          <w:szCs w:val="32"/>
          <w:highlight w:val="green"/>
        </w:rPr>
        <w:br w:type="page"/>
      </w:r>
    </w:p>
    <w:p>
      <w:pPr>
        <w:pStyle w:val="4"/>
        <w:ind w:right="440"/>
        <w:jc w:val="right"/>
        <w:rPr>
          <w:rStyle w:val="16"/>
          <w:rFonts w:ascii="黑体" w:hAnsi="黑体" w:eastAsia="黑体"/>
          <w:b w:val="0"/>
          <w:bCs w:val="0"/>
          <w:highlight w:val="none"/>
        </w:rPr>
      </w:pPr>
      <w:bookmarkStart w:id="22" w:name="_Toc15396602"/>
      <w:bookmarkStart w:id="23" w:name="_Toc15377204"/>
      <w:r>
        <w:rPr>
          <w:rFonts w:hint="eastAsia" w:ascii="黑体" w:hAnsi="黑体" w:eastAsia="黑体"/>
          <w:b w:val="0"/>
          <w:color w:val="000000"/>
          <w:highlight w:val="none"/>
        </w:rPr>
        <w:t>第二部分</w:t>
      </w:r>
      <w:r>
        <w:rPr>
          <w:rFonts w:hint="eastAsia" w:ascii="黑体" w:hAnsi="黑体" w:eastAsia="黑体"/>
          <w:color w:val="000000"/>
          <w:highlight w:val="none"/>
        </w:rPr>
        <w:t xml:space="preserve"> </w:t>
      </w:r>
      <w:r>
        <w:rPr>
          <w:rStyle w:val="16"/>
          <w:rFonts w:hint="eastAsia" w:ascii="黑体" w:hAnsi="黑体" w:eastAsia="黑体"/>
          <w:b w:val="0"/>
          <w:bCs w:val="0"/>
          <w:highlight w:val="none"/>
        </w:rPr>
        <w:t>2019年度部门决算情况说明</w:t>
      </w:r>
      <w:bookmarkEnd w:id="22"/>
      <w:bookmarkEnd w:id="23"/>
    </w:p>
    <w:p>
      <w:pPr>
        <w:rPr>
          <w:highlight w:val="none"/>
        </w:rPr>
      </w:pPr>
    </w:p>
    <w:p>
      <w:pPr>
        <w:pStyle w:val="18"/>
        <w:numPr>
          <w:ilvl w:val="0"/>
          <w:numId w:val="1"/>
        </w:numPr>
        <w:spacing w:line="600" w:lineRule="exact"/>
        <w:ind w:firstLineChars="0"/>
        <w:outlineLvl w:val="1"/>
        <w:rPr>
          <w:rStyle w:val="17"/>
          <w:rFonts w:ascii="黑体" w:hAnsi="黑体" w:eastAsia="黑体"/>
          <w:b w:val="0"/>
          <w:highlight w:val="none"/>
        </w:rPr>
      </w:pPr>
      <w:bookmarkStart w:id="24" w:name="_Toc15377205"/>
      <w:bookmarkStart w:id="25" w:name="_Toc15396603"/>
      <w:r>
        <w:rPr>
          <w:rFonts w:hint="eastAsia" w:ascii="黑体" w:hAnsi="黑体" w:eastAsia="黑体"/>
          <w:color w:val="000000"/>
          <w:sz w:val="32"/>
          <w:szCs w:val="32"/>
          <w:highlight w:val="none"/>
        </w:rPr>
        <w:t>收</w:t>
      </w:r>
      <w:r>
        <w:rPr>
          <w:rStyle w:val="17"/>
          <w:rFonts w:hint="eastAsia" w:ascii="黑体" w:hAnsi="黑体" w:eastAsia="黑体"/>
          <w:b w:val="0"/>
          <w:highlight w:val="none"/>
        </w:rPr>
        <w:t>入支出决算总体情况说明</w:t>
      </w:r>
      <w:bookmarkEnd w:id="24"/>
      <w:bookmarkEnd w:id="25"/>
    </w:p>
    <w:p>
      <w:pPr>
        <w:spacing w:line="600" w:lineRule="exact"/>
        <w:ind w:firstLine="640" w:firstLineChars="200"/>
        <w:rPr>
          <w:rFonts w:hint="eastAsia" w:ascii="仿宋_GB2312" w:hAnsi="仿宋" w:eastAsia="仿宋_GB2312"/>
          <w:sz w:val="32"/>
          <w:szCs w:val="32"/>
          <w:highlight w:val="none"/>
          <w:lang w:val="en-US" w:eastAsia="zh-CN"/>
        </w:rPr>
      </w:pPr>
      <w:r>
        <w:rPr>
          <w:rFonts w:hint="eastAsia" w:ascii="仿宋" w:hAnsi="仿宋" w:eastAsia="仿宋"/>
          <w:color w:val="000000"/>
          <w:sz w:val="32"/>
          <w:szCs w:val="32"/>
          <w:highlight w:val="none"/>
        </w:rPr>
        <w:t>2019年度收、支总计</w:t>
      </w:r>
      <w:r>
        <w:rPr>
          <w:rFonts w:hint="eastAsia" w:ascii="仿宋" w:hAnsi="仿宋" w:eastAsia="仿宋"/>
          <w:color w:val="000000"/>
          <w:sz w:val="32"/>
          <w:szCs w:val="32"/>
          <w:highlight w:val="none"/>
          <w:lang w:val="en-US" w:eastAsia="zh-CN"/>
        </w:rPr>
        <w:t>1220.25</w:t>
      </w:r>
      <w:r>
        <w:rPr>
          <w:rFonts w:hint="eastAsia" w:ascii="仿宋" w:hAnsi="仿宋" w:eastAsia="仿宋"/>
          <w:color w:val="000000"/>
          <w:sz w:val="32"/>
          <w:szCs w:val="32"/>
          <w:highlight w:val="none"/>
        </w:rPr>
        <w:t>万元。</w:t>
      </w:r>
      <w:r>
        <w:rPr>
          <w:rFonts w:hint="eastAsia" w:ascii="仿宋" w:hAnsi="仿宋" w:eastAsia="仿宋"/>
          <w:color w:val="000000"/>
          <w:sz w:val="32"/>
          <w:szCs w:val="32"/>
          <w:highlight w:val="none"/>
          <w:lang w:val="en-US" w:eastAsia="zh-CN"/>
        </w:rPr>
        <w:t>与2018年相比，收、支总计各减少120.3万元，减少8.97%。主要变动原因</w:t>
      </w:r>
      <w:r>
        <w:rPr>
          <w:rFonts w:hint="eastAsia" w:ascii="仿宋_GB2312" w:hAnsi="仿宋" w:eastAsia="仿宋_GB2312"/>
          <w:sz w:val="32"/>
          <w:szCs w:val="32"/>
          <w:highlight w:val="none"/>
          <w:lang w:val="en-US" w:eastAsia="zh-CN"/>
        </w:rPr>
        <w:t>是</w:t>
      </w:r>
      <w:r>
        <w:rPr>
          <w:rFonts w:hint="eastAsia" w:ascii="仿宋_GB2312" w:hAnsi="仿宋" w:eastAsia="仿宋_GB2312"/>
          <w:sz w:val="32"/>
          <w:szCs w:val="32"/>
          <w:highlight w:val="none"/>
        </w:rPr>
        <w:t>本年人员减少，厉行节约，经费减少。</w:t>
      </w:r>
    </w:p>
    <w:p>
      <w:pPr>
        <w:pStyle w:val="2"/>
        <w:rPr>
          <w:rFonts w:hint="eastAsia" w:ascii="仿宋_GB2312" w:hAnsi="仿宋" w:eastAsia="仿宋_GB2312"/>
          <w:sz w:val="32"/>
          <w:szCs w:val="32"/>
          <w:highlight w:val="green"/>
          <w:lang w:val="en-US" w:eastAsia="zh-CN"/>
        </w:rPr>
      </w:pPr>
      <w:r>
        <w:rPr>
          <w:rFonts w:hint="eastAsia" w:ascii="仿宋_GB2312" w:hAnsi="仿宋" w:eastAsia="仿宋_GB2312"/>
          <w:sz w:val="32"/>
          <w:szCs w:val="32"/>
          <w:highlight w:val="green"/>
          <w:lang w:val="en-US" w:eastAsia="zh-CN"/>
        </w:rPr>
        <w:drawing>
          <wp:inline distT="0" distB="0" distL="114300" distR="114300">
            <wp:extent cx="4908550" cy="3495675"/>
            <wp:effectExtent l="4445" t="4445" r="20955" b="508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rPr>
          <w:rFonts w:hint="default" w:ascii="仿宋_GB2312" w:hAnsi="仿宋" w:eastAsia="仿宋_GB2312"/>
          <w:sz w:val="28"/>
          <w:szCs w:val="28"/>
          <w:highlight w:val="none"/>
          <w:lang w:val="en-US" w:eastAsia="zh-CN"/>
        </w:rPr>
      </w:pP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28"/>
          <w:szCs w:val="28"/>
          <w:highlight w:val="none"/>
          <w:lang w:val="en-US" w:eastAsia="zh-CN"/>
        </w:rPr>
        <w:t xml:space="preserve">   （图1：收、支决算总计变动情况图）</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柱</w:t>
      </w:r>
      <w:r>
        <w:rPr>
          <w:rFonts w:hint="eastAsia" w:ascii="仿宋" w:hAnsi="仿宋" w:eastAsia="仿宋"/>
          <w:color w:val="000000" w:themeColor="text1"/>
          <w:sz w:val="32"/>
          <w:szCs w:val="32"/>
          <w:highlight w:val="none"/>
          <w14:textFill>
            <w14:solidFill>
              <w14:schemeClr w14:val="tx1"/>
            </w14:solidFill>
          </w14:textFill>
        </w:rPr>
        <w:t>状图）</w:t>
      </w:r>
    </w:p>
    <w:p>
      <w:pPr>
        <w:pStyle w:val="18"/>
        <w:numPr>
          <w:ilvl w:val="0"/>
          <w:numId w:val="1"/>
        </w:numPr>
        <w:spacing w:line="600" w:lineRule="exact"/>
        <w:ind w:firstLineChars="0"/>
        <w:outlineLvl w:val="1"/>
        <w:rPr>
          <w:rStyle w:val="17"/>
          <w:rFonts w:ascii="黑体" w:hAnsi="黑体" w:eastAsia="黑体"/>
          <w:b w:val="0"/>
          <w:highlight w:val="none"/>
        </w:rPr>
      </w:pPr>
      <w:bookmarkStart w:id="26" w:name="_Toc15396604"/>
      <w:bookmarkStart w:id="27" w:name="_Toc15377206"/>
      <w:r>
        <w:rPr>
          <w:rFonts w:hint="eastAsia" w:ascii="黑体" w:hAnsi="黑体" w:eastAsia="黑体"/>
          <w:color w:val="000000"/>
          <w:sz w:val="32"/>
          <w:szCs w:val="32"/>
          <w:highlight w:val="none"/>
        </w:rPr>
        <w:t>收</w:t>
      </w:r>
      <w:r>
        <w:rPr>
          <w:rStyle w:val="17"/>
          <w:rFonts w:hint="eastAsia" w:ascii="黑体" w:hAnsi="黑体" w:eastAsia="黑体"/>
          <w:b w:val="0"/>
          <w:highlight w:val="none"/>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highlight w:val="none"/>
        </w:rPr>
      </w:pPr>
      <w:r>
        <w:rPr>
          <w:rFonts w:ascii="仿宋" w:hAnsi="仿宋" w:eastAsia="仿宋"/>
          <w:color w:val="000000"/>
          <w:sz w:val="32"/>
          <w:szCs w:val="32"/>
          <w:highlight w:val="none"/>
        </w:rPr>
        <w:t>201</w:t>
      </w:r>
      <w:r>
        <w:rPr>
          <w:rFonts w:hint="eastAsia" w:ascii="仿宋" w:hAnsi="仿宋" w:eastAsia="仿宋"/>
          <w:color w:val="000000"/>
          <w:sz w:val="32"/>
          <w:szCs w:val="32"/>
          <w:highlight w:val="none"/>
        </w:rPr>
        <w:t>9年本年收入合计</w:t>
      </w:r>
      <w:r>
        <w:rPr>
          <w:rFonts w:hint="eastAsia" w:ascii="仿宋" w:hAnsi="仿宋" w:eastAsia="仿宋"/>
          <w:color w:val="000000"/>
          <w:sz w:val="32"/>
          <w:szCs w:val="32"/>
          <w:highlight w:val="none"/>
          <w:lang w:val="en-US" w:eastAsia="zh-CN"/>
        </w:rPr>
        <w:t>1118.41</w:t>
      </w:r>
      <w:r>
        <w:rPr>
          <w:rFonts w:hint="eastAsia" w:ascii="仿宋" w:hAnsi="仿宋" w:eastAsia="仿宋"/>
          <w:color w:val="000000"/>
          <w:sz w:val="32"/>
          <w:szCs w:val="32"/>
          <w:highlight w:val="none"/>
        </w:rPr>
        <w:t>万元，其中：一般公共预算财政拨款收入</w:t>
      </w:r>
      <w:r>
        <w:rPr>
          <w:rFonts w:hint="eastAsia" w:ascii="仿宋" w:hAnsi="仿宋" w:eastAsia="仿宋"/>
          <w:color w:val="000000"/>
          <w:sz w:val="32"/>
          <w:szCs w:val="32"/>
          <w:highlight w:val="none"/>
          <w:lang w:val="en-US" w:eastAsia="zh-CN"/>
        </w:rPr>
        <w:t>1118.41</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；政府性基金预算财政拨款收入</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w:t>
      </w:r>
      <w:r>
        <w:rPr>
          <w:rFonts w:hint="eastAsia" w:ascii="仿宋" w:hAnsi="仿宋" w:eastAsia="仿宋"/>
          <w:color w:val="000000" w:themeColor="text1"/>
          <w:sz w:val="32"/>
          <w:szCs w:val="32"/>
          <w:highlight w:val="none"/>
          <w14:textFill>
            <w14:solidFill>
              <w14:schemeClr w14:val="tx1"/>
            </w14:solidFill>
          </w14:textFill>
        </w:rPr>
        <w:t>上级补助收入</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hint="eastAsia" w:ascii="仿宋" w:hAnsi="仿宋" w:eastAsia="仿宋"/>
          <w:color w:val="000000"/>
          <w:sz w:val="32"/>
          <w:szCs w:val="32"/>
          <w:highlight w:val="none"/>
        </w:rPr>
        <w:t>万元；事业收入</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万元，；经营收入</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万元；附属单位上缴收入</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万元；其他收入</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w:t>
      </w:r>
    </w:p>
    <w:p>
      <w:pPr>
        <w:pStyle w:val="2"/>
        <w:rPr>
          <w:rFonts w:hint="eastAsia" w:eastAsia="仿宋"/>
          <w:highlight w:val="green"/>
          <w:lang w:eastAsia="zh-CN"/>
        </w:rPr>
      </w:pPr>
      <w:r>
        <w:rPr>
          <w:rFonts w:hint="eastAsia" w:eastAsia="仿宋"/>
          <w:highlight w:val="green"/>
          <w:lang w:eastAsia="zh-CN"/>
        </w:rPr>
        <w:drawing>
          <wp:inline distT="0" distB="0" distL="114300" distR="114300">
            <wp:extent cx="4918075" cy="4095115"/>
            <wp:effectExtent l="5080" t="4445" r="10795" b="1524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hint="default" w:eastAsia="仿宋"/>
          <w:highlight w:val="none"/>
          <w:lang w:val="en-US" w:eastAsia="zh-CN"/>
        </w:rPr>
      </w:pPr>
      <w:r>
        <w:rPr>
          <w:rFonts w:hint="eastAsia" w:eastAsia="仿宋"/>
          <w:highlight w:val="none"/>
          <w:lang w:val="en-US" w:eastAsia="zh-CN"/>
        </w:rPr>
        <w:t xml:space="preserve">            （图2：收入决算结构图）</w:t>
      </w:r>
      <w:r>
        <w:rPr>
          <w:rFonts w:hint="eastAsia" w:ascii="仿宋" w:hAnsi="仿宋" w:eastAsia="仿宋"/>
          <w:color w:val="000000" w:themeColor="text1"/>
          <w:sz w:val="32"/>
          <w:szCs w:val="32"/>
          <w:highlight w:val="none"/>
          <w14:textFill>
            <w14:solidFill>
              <w14:schemeClr w14:val="tx1"/>
            </w14:solidFill>
          </w14:textFill>
        </w:rPr>
        <w:t>（饼状图）</w:t>
      </w:r>
    </w:p>
    <w:p>
      <w:pPr>
        <w:pStyle w:val="18"/>
        <w:numPr>
          <w:ilvl w:val="0"/>
          <w:numId w:val="0"/>
        </w:numPr>
        <w:spacing w:line="600" w:lineRule="exact"/>
        <w:ind w:firstLine="640" w:firstLineChars="200"/>
        <w:outlineLvl w:val="1"/>
        <w:rPr>
          <w:rStyle w:val="17"/>
          <w:rFonts w:ascii="黑体" w:hAnsi="黑体" w:eastAsia="黑体"/>
          <w:b w:val="0"/>
          <w:highlight w:val="none"/>
        </w:rPr>
      </w:pPr>
      <w:bookmarkStart w:id="28" w:name="_Toc15377207"/>
      <w:bookmarkStart w:id="29" w:name="_Toc15396605"/>
      <w:r>
        <w:rPr>
          <w:rFonts w:hint="eastAsia" w:ascii="黑体" w:hAnsi="黑体" w:eastAsia="黑体"/>
          <w:color w:val="000000"/>
          <w:sz w:val="32"/>
          <w:szCs w:val="32"/>
          <w:highlight w:val="none"/>
          <w:lang w:val="en-US" w:eastAsia="zh-CN"/>
        </w:rPr>
        <w:t>三、</w:t>
      </w:r>
      <w:r>
        <w:rPr>
          <w:rFonts w:hint="eastAsia" w:ascii="黑体" w:hAnsi="黑体" w:eastAsia="黑体"/>
          <w:color w:val="000000"/>
          <w:sz w:val="32"/>
          <w:szCs w:val="32"/>
          <w:highlight w:val="none"/>
        </w:rPr>
        <w:t>支</w:t>
      </w:r>
      <w:r>
        <w:rPr>
          <w:rStyle w:val="17"/>
          <w:rFonts w:hint="eastAsia" w:ascii="黑体" w:hAnsi="黑体" w:eastAsia="黑体"/>
          <w:b w:val="0"/>
          <w:highlight w:val="none"/>
        </w:rPr>
        <w:t>出决算情况说明</w:t>
      </w:r>
      <w:bookmarkEnd w:id="28"/>
      <w:bookmarkEnd w:id="29"/>
    </w:p>
    <w:p>
      <w:pPr>
        <w:spacing w:line="600" w:lineRule="exact"/>
        <w:ind w:firstLine="640" w:firstLineChars="200"/>
        <w:outlineLvl w:val="1"/>
        <w:rPr>
          <w:rFonts w:hint="eastAsia" w:ascii="仿宋" w:hAnsi="仿宋" w:eastAsia="仿宋"/>
          <w:color w:val="000000"/>
          <w:sz w:val="32"/>
          <w:szCs w:val="32"/>
          <w:highlight w:val="none"/>
        </w:rPr>
      </w:pPr>
      <w:r>
        <w:rPr>
          <w:rFonts w:ascii="仿宋" w:hAnsi="仿宋" w:eastAsia="仿宋"/>
          <w:color w:val="000000"/>
          <w:sz w:val="32"/>
          <w:szCs w:val="32"/>
          <w:highlight w:val="none"/>
        </w:rPr>
        <w:t>201</w:t>
      </w:r>
      <w:r>
        <w:rPr>
          <w:rFonts w:hint="eastAsia" w:ascii="仿宋" w:hAnsi="仿宋" w:eastAsia="仿宋"/>
          <w:color w:val="000000"/>
          <w:sz w:val="32"/>
          <w:szCs w:val="32"/>
          <w:highlight w:val="none"/>
        </w:rPr>
        <w:t>9年本年支出合计</w:t>
      </w:r>
      <w:r>
        <w:rPr>
          <w:rFonts w:hint="eastAsia" w:ascii="仿宋" w:hAnsi="仿宋" w:eastAsia="仿宋"/>
          <w:color w:val="000000"/>
          <w:sz w:val="32"/>
          <w:szCs w:val="32"/>
          <w:highlight w:val="none"/>
          <w:lang w:val="en-US" w:eastAsia="zh-CN"/>
        </w:rPr>
        <w:t>1214.86</w:t>
      </w:r>
      <w:r>
        <w:rPr>
          <w:rFonts w:hint="eastAsia" w:ascii="仿宋" w:hAnsi="仿宋" w:eastAsia="仿宋"/>
          <w:color w:val="000000"/>
          <w:sz w:val="32"/>
          <w:szCs w:val="32"/>
          <w:highlight w:val="none"/>
        </w:rPr>
        <w:t>万元，其中：基本支出</w:t>
      </w:r>
      <w:r>
        <w:rPr>
          <w:rFonts w:hint="eastAsia" w:ascii="仿宋" w:hAnsi="仿宋" w:eastAsia="仿宋"/>
          <w:color w:val="000000"/>
          <w:sz w:val="32"/>
          <w:szCs w:val="32"/>
          <w:highlight w:val="none"/>
          <w:lang w:val="en-US" w:eastAsia="zh-CN"/>
        </w:rPr>
        <w:t>526.38</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43.33</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；项目支出</w:t>
      </w:r>
      <w:r>
        <w:rPr>
          <w:rFonts w:hint="eastAsia" w:ascii="仿宋" w:hAnsi="仿宋" w:eastAsia="仿宋"/>
          <w:color w:val="000000"/>
          <w:sz w:val="32"/>
          <w:szCs w:val="32"/>
          <w:highlight w:val="none"/>
          <w:lang w:val="en-US" w:eastAsia="zh-CN"/>
        </w:rPr>
        <w:t>688.48</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56.67</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；上缴上级支出</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万元；经营支出</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万元；对附属单位补助支出</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w:t>
      </w:r>
    </w:p>
    <w:p>
      <w:pPr>
        <w:pStyle w:val="2"/>
        <w:rPr>
          <w:rFonts w:hint="eastAsia" w:ascii="仿宋" w:hAnsi="仿宋" w:eastAsia="仿宋"/>
          <w:color w:val="000000"/>
          <w:sz w:val="32"/>
          <w:szCs w:val="32"/>
          <w:highlight w:val="none"/>
        </w:rPr>
      </w:pPr>
      <w:r>
        <w:rPr>
          <w:rFonts w:hint="eastAsia" w:ascii="仿宋" w:hAnsi="仿宋" w:eastAsia="仿宋"/>
          <w:color w:val="000000"/>
          <w:sz w:val="32"/>
          <w:szCs w:val="32"/>
          <w:highlight w:val="none"/>
          <w:lang w:eastAsia="zh-CN"/>
        </w:rPr>
        <w:drawing>
          <wp:inline distT="0" distB="0" distL="114300" distR="114300">
            <wp:extent cx="4822825" cy="3772535"/>
            <wp:effectExtent l="4445" t="5080" r="11430" b="1333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1600" w:firstLineChars="5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（图3：支出决算结构图）（饼状图）</w:t>
      </w:r>
    </w:p>
    <w:p>
      <w:pPr>
        <w:spacing w:line="600" w:lineRule="exact"/>
        <w:ind w:firstLine="640" w:firstLineChars="200"/>
        <w:rPr>
          <w:rFonts w:ascii="仿宋_GB2312" w:eastAsia="仿宋_GB2312"/>
          <w:color w:val="FF0000"/>
          <w:sz w:val="32"/>
          <w:szCs w:val="32"/>
          <w:highlight w:val="green"/>
        </w:rPr>
      </w:pPr>
    </w:p>
    <w:p>
      <w:pPr>
        <w:spacing w:line="600" w:lineRule="exact"/>
        <w:ind w:firstLine="640" w:firstLineChars="200"/>
        <w:outlineLvl w:val="1"/>
        <w:rPr>
          <w:rStyle w:val="17"/>
          <w:rFonts w:ascii="黑体" w:hAnsi="黑体" w:eastAsia="黑体"/>
          <w:b w:val="0"/>
          <w:highlight w:val="none"/>
        </w:rPr>
      </w:pPr>
      <w:bookmarkStart w:id="30" w:name="_Toc15396606"/>
      <w:bookmarkStart w:id="31" w:name="_Toc15377208"/>
      <w:r>
        <w:rPr>
          <w:rFonts w:hint="eastAsia" w:ascii="黑体" w:hAnsi="黑体" w:eastAsia="黑体"/>
          <w:color w:val="000000"/>
          <w:sz w:val="32"/>
          <w:szCs w:val="32"/>
          <w:highlight w:val="none"/>
        </w:rPr>
        <w:t>四、财</w:t>
      </w:r>
      <w:r>
        <w:rPr>
          <w:rStyle w:val="17"/>
          <w:rFonts w:hint="eastAsia" w:ascii="黑体" w:hAnsi="黑体" w:eastAsia="黑体"/>
          <w:b w:val="0"/>
          <w:highlight w:val="none"/>
        </w:rPr>
        <w:t>政拨款收入支出决算总体情况说明</w:t>
      </w:r>
      <w:bookmarkEnd w:id="30"/>
      <w:bookmarkEnd w:id="31"/>
    </w:p>
    <w:p>
      <w:pPr>
        <w:spacing w:line="600" w:lineRule="exact"/>
        <w:ind w:firstLine="640"/>
        <w:rPr>
          <w:rFonts w:ascii="仿宋" w:hAnsi="仿宋" w:eastAsia="仿宋"/>
          <w:color w:val="000000"/>
          <w:sz w:val="32"/>
          <w:szCs w:val="32"/>
          <w:highlight w:val="none"/>
        </w:rPr>
      </w:pPr>
      <w:r>
        <w:rPr>
          <w:rFonts w:ascii="仿宋" w:hAnsi="仿宋" w:eastAsia="仿宋"/>
          <w:color w:val="000000"/>
          <w:sz w:val="32"/>
          <w:szCs w:val="32"/>
          <w:highlight w:val="none"/>
        </w:rPr>
        <w:t>201</w:t>
      </w:r>
      <w:r>
        <w:rPr>
          <w:rFonts w:hint="eastAsia" w:ascii="仿宋" w:hAnsi="仿宋" w:eastAsia="仿宋"/>
          <w:color w:val="000000"/>
          <w:sz w:val="32"/>
          <w:szCs w:val="32"/>
          <w:highlight w:val="none"/>
        </w:rPr>
        <w:t>9年财政拨款收、支总计</w:t>
      </w:r>
      <w:r>
        <w:rPr>
          <w:rFonts w:hint="eastAsia" w:ascii="仿宋" w:hAnsi="仿宋" w:eastAsia="仿宋"/>
          <w:color w:val="000000"/>
          <w:sz w:val="32"/>
          <w:szCs w:val="32"/>
          <w:highlight w:val="none"/>
          <w:lang w:val="en-US" w:eastAsia="zh-CN"/>
        </w:rPr>
        <w:t>1220.25</w:t>
      </w:r>
      <w:r>
        <w:rPr>
          <w:rFonts w:hint="eastAsia" w:ascii="仿宋" w:hAnsi="仿宋" w:eastAsia="仿宋"/>
          <w:color w:val="000000"/>
          <w:sz w:val="32"/>
          <w:szCs w:val="32"/>
          <w:highlight w:val="none"/>
        </w:rPr>
        <w:t>万元。</w:t>
      </w:r>
      <w:r>
        <w:rPr>
          <w:rFonts w:hint="eastAsia" w:ascii="仿宋" w:hAnsi="仿宋" w:eastAsia="仿宋"/>
          <w:color w:val="000000"/>
          <w:sz w:val="32"/>
          <w:szCs w:val="32"/>
          <w:highlight w:val="none"/>
          <w:lang w:val="en-US" w:eastAsia="zh-CN"/>
        </w:rPr>
        <w:t>与2018年相比，收、支总计各减少120.79万元，减少9.04%。主要变动原因是</w:t>
      </w:r>
      <w:r>
        <w:rPr>
          <w:rFonts w:hint="eastAsia" w:ascii="仿宋_GB2312" w:hAnsi="仿宋" w:eastAsia="仿宋_GB2312"/>
          <w:sz w:val="32"/>
          <w:szCs w:val="32"/>
          <w:highlight w:val="none"/>
        </w:rPr>
        <w:t>本年人员减少，厉行节约，经费减少。</w:t>
      </w:r>
    </w:p>
    <w:p>
      <w:pPr>
        <w:spacing w:line="600" w:lineRule="exact"/>
        <w:rPr>
          <w:rFonts w:hint="eastAsia" w:ascii="仿宋" w:hAnsi="仿宋" w:eastAsia="仿宋"/>
          <w:color w:val="000000"/>
          <w:sz w:val="32"/>
          <w:szCs w:val="32"/>
          <w:highlight w:val="green"/>
          <w:lang w:eastAsia="zh-CN"/>
        </w:rPr>
      </w:pPr>
    </w:p>
    <w:p>
      <w:pPr>
        <w:pStyle w:val="2"/>
        <w:rPr>
          <w:rFonts w:ascii="仿宋" w:hAnsi="仿宋" w:eastAsia="仿宋"/>
          <w:color w:val="000000"/>
          <w:sz w:val="32"/>
          <w:szCs w:val="32"/>
          <w:highlight w:val="none"/>
        </w:rPr>
      </w:pPr>
      <w:r>
        <w:rPr>
          <w:rFonts w:hint="eastAsia" w:ascii="仿宋" w:hAnsi="仿宋" w:eastAsia="仿宋"/>
          <w:color w:val="000000"/>
          <w:sz w:val="32"/>
          <w:szCs w:val="32"/>
          <w:highlight w:val="none"/>
          <w:lang w:eastAsia="zh-CN"/>
        </w:rPr>
        <w:drawing>
          <wp:inline distT="0" distB="0" distL="114300" distR="114300">
            <wp:extent cx="4632960" cy="3734435"/>
            <wp:effectExtent l="4445" t="4445" r="10795" b="1397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（图4：财政拨款收、支决算总计变动情况）（柱状图）</w:t>
      </w:r>
    </w:p>
    <w:p>
      <w:pPr>
        <w:spacing w:line="600" w:lineRule="exact"/>
        <w:ind w:firstLine="640"/>
        <w:rPr>
          <w:rFonts w:ascii="仿宋" w:hAnsi="仿宋" w:eastAsia="仿宋"/>
          <w:b/>
          <w:color w:val="00B050"/>
          <w:sz w:val="32"/>
          <w:szCs w:val="32"/>
          <w:highlight w:val="green"/>
        </w:rPr>
      </w:pPr>
    </w:p>
    <w:p>
      <w:pPr>
        <w:spacing w:line="600" w:lineRule="exact"/>
        <w:ind w:firstLine="640" w:firstLineChars="200"/>
        <w:outlineLvl w:val="1"/>
        <w:rPr>
          <w:rStyle w:val="17"/>
          <w:rFonts w:ascii="黑体" w:hAnsi="黑体" w:eastAsia="黑体"/>
          <w:b w:val="0"/>
          <w:highlight w:val="none"/>
        </w:rPr>
      </w:pPr>
      <w:bookmarkStart w:id="32" w:name="_Toc15377209"/>
      <w:bookmarkStart w:id="33" w:name="_Toc15396607"/>
      <w:r>
        <w:rPr>
          <w:rFonts w:hint="eastAsia" w:ascii="黑体" w:hAnsi="黑体" w:eastAsia="黑体"/>
          <w:color w:val="000000"/>
          <w:sz w:val="32"/>
          <w:szCs w:val="32"/>
          <w:highlight w:val="none"/>
        </w:rPr>
        <w:t>五、</w:t>
      </w:r>
      <w:r>
        <w:rPr>
          <w:rFonts w:hint="eastAsia" w:ascii="黑体" w:hAnsi="黑体" w:eastAsia="黑体"/>
          <w:b/>
          <w:color w:val="000000"/>
          <w:sz w:val="32"/>
          <w:szCs w:val="32"/>
          <w:highlight w:val="none"/>
        </w:rPr>
        <w:t>一</w:t>
      </w:r>
      <w:r>
        <w:rPr>
          <w:rStyle w:val="17"/>
          <w:rFonts w:hint="eastAsia" w:ascii="黑体" w:hAnsi="黑体" w:eastAsia="黑体"/>
          <w:b w:val="0"/>
          <w:highlight w:val="none"/>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highlight w:val="none"/>
        </w:rPr>
      </w:pPr>
      <w:bookmarkStart w:id="34" w:name="_Toc15377210"/>
      <w:r>
        <w:rPr>
          <w:rFonts w:hint="eastAsia" w:ascii="仿宋" w:hAnsi="仿宋" w:eastAsia="仿宋"/>
          <w:b/>
          <w:color w:val="000000"/>
          <w:sz w:val="32"/>
          <w:szCs w:val="32"/>
          <w:highlight w:val="none"/>
        </w:rPr>
        <w:t>（一）一般公共预算财政拨款支出决算总体情况</w:t>
      </w:r>
      <w:bookmarkEnd w:id="34"/>
    </w:p>
    <w:p>
      <w:pPr>
        <w:spacing w:line="600" w:lineRule="exact"/>
        <w:ind w:firstLine="640"/>
        <w:rPr>
          <w:rFonts w:ascii="仿宋" w:hAnsi="仿宋" w:eastAsia="仿宋"/>
          <w:color w:val="000000"/>
          <w:sz w:val="32"/>
          <w:szCs w:val="32"/>
          <w:highlight w:val="none"/>
        </w:rPr>
      </w:pPr>
      <w:r>
        <w:rPr>
          <w:rFonts w:ascii="仿宋" w:hAnsi="仿宋" w:eastAsia="仿宋"/>
          <w:color w:val="000000"/>
          <w:sz w:val="32"/>
          <w:szCs w:val="32"/>
          <w:highlight w:val="none"/>
        </w:rPr>
        <w:t>201</w:t>
      </w:r>
      <w:r>
        <w:rPr>
          <w:rFonts w:hint="eastAsia" w:ascii="仿宋" w:hAnsi="仿宋" w:eastAsia="仿宋"/>
          <w:color w:val="000000"/>
          <w:sz w:val="32"/>
          <w:szCs w:val="32"/>
          <w:highlight w:val="none"/>
        </w:rPr>
        <w:t>9年一般公共预算财政拨款支出</w:t>
      </w:r>
      <w:r>
        <w:rPr>
          <w:rFonts w:hint="eastAsia" w:ascii="仿宋" w:hAnsi="仿宋" w:eastAsia="仿宋"/>
          <w:color w:val="000000"/>
          <w:sz w:val="32"/>
          <w:szCs w:val="32"/>
          <w:highlight w:val="none"/>
          <w:lang w:val="en-US" w:eastAsia="zh-CN"/>
        </w:rPr>
        <w:t>1214.87</w:t>
      </w:r>
      <w:r>
        <w:rPr>
          <w:rFonts w:hint="eastAsia" w:ascii="仿宋" w:hAnsi="仿宋" w:eastAsia="仿宋"/>
          <w:color w:val="000000"/>
          <w:sz w:val="32"/>
          <w:szCs w:val="32"/>
          <w:highlight w:val="none"/>
        </w:rPr>
        <w:t>万元，占本年支出合计的</w:t>
      </w:r>
      <w:r>
        <w:rPr>
          <w:rFonts w:hint="eastAsia" w:ascii="仿宋" w:hAnsi="仿宋" w:eastAsia="仿宋"/>
          <w:color w:val="000000"/>
          <w:sz w:val="32"/>
          <w:szCs w:val="32"/>
          <w:highlight w:val="none"/>
          <w:lang w:val="en-US" w:eastAsia="zh-CN"/>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。与</w:t>
      </w:r>
      <w:r>
        <w:rPr>
          <w:rFonts w:ascii="仿宋" w:hAnsi="仿宋" w:eastAsia="仿宋"/>
          <w:color w:val="000000"/>
          <w:sz w:val="32"/>
          <w:szCs w:val="32"/>
          <w:highlight w:val="none"/>
        </w:rPr>
        <w:t>201</w:t>
      </w:r>
      <w:r>
        <w:rPr>
          <w:rFonts w:hint="eastAsia" w:ascii="仿宋" w:hAnsi="仿宋" w:eastAsia="仿宋"/>
          <w:color w:val="000000"/>
          <w:sz w:val="32"/>
          <w:szCs w:val="32"/>
          <w:highlight w:val="none"/>
        </w:rPr>
        <w:t>8年相比，一般公共预算财政拨款</w:t>
      </w:r>
      <w:r>
        <w:rPr>
          <w:rFonts w:hint="eastAsia" w:ascii="仿宋" w:hAnsi="仿宋" w:eastAsia="仿宋"/>
          <w:color w:val="000000"/>
          <w:sz w:val="32"/>
          <w:szCs w:val="32"/>
          <w:highlight w:val="none"/>
          <w:lang w:val="en-US" w:eastAsia="zh-CN"/>
        </w:rPr>
        <w:t>减少120.79</w:t>
      </w:r>
      <w:r>
        <w:rPr>
          <w:rFonts w:hint="eastAsia" w:ascii="仿宋" w:hAnsi="仿宋" w:eastAsia="仿宋"/>
          <w:color w:val="000000"/>
          <w:sz w:val="32"/>
          <w:szCs w:val="32"/>
          <w:highlight w:val="none"/>
        </w:rPr>
        <w:t>万元</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lang w:val="en-US" w:eastAsia="zh-CN"/>
        </w:rPr>
        <w:t>减少9.04%</w:t>
      </w:r>
      <w:r>
        <w:rPr>
          <w:rFonts w:hint="eastAsia" w:ascii="仿宋" w:hAnsi="仿宋" w:eastAsia="仿宋"/>
          <w:color w:val="000000"/>
          <w:sz w:val="32"/>
          <w:szCs w:val="32"/>
          <w:highlight w:val="none"/>
        </w:rPr>
        <w:t>。主要变动原因是</w:t>
      </w:r>
      <w:r>
        <w:rPr>
          <w:rFonts w:hint="eastAsia" w:ascii="仿宋_GB2312" w:hAnsi="仿宋" w:eastAsia="仿宋_GB2312"/>
          <w:sz w:val="32"/>
          <w:szCs w:val="32"/>
          <w:highlight w:val="none"/>
        </w:rPr>
        <w:t>本年人员减少，厉行节约，经费减少。</w:t>
      </w:r>
    </w:p>
    <w:p>
      <w:pPr>
        <w:spacing w:line="600" w:lineRule="exact"/>
        <w:ind w:firstLine="640" w:firstLineChars="200"/>
        <w:rPr>
          <w:rFonts w:ascii="仿宋" w:hAnsi="仿宋" w:eastAsia="仿宋"/>
          <w:color w:val="000000"/>
          <w:sz w:val="32"/>
          <w:szCs w:val="32"/>
          <w:highlight w:val="green"/>
        </w:rPr>
      </w:pPr>
    </w:p>
    <w:p>
      <w:pPr>
        <w:pStyle w:val="2"/>
        <w:rPr>
          <w:rFonts w:ascii="仿宋" w:hAnsi="仿宋" w:eastAsia="仿宋"/>
          <w:color w:val="000000"/>
          <w:sz w:val="32"/>
          <w:szCs w:val="32"/>
          <w:highlight w:val="green"/>
        </w:rPr>
      </w:pPr>
      <w:r>
        <w:rPr>
          <w:rFonts w:hint="eastAsia" w:ascii="仿宋" w:hAnsi="仿宋" w:eastAsia="仿宋"/>
          <w:color w:val="000000"/>
          <w:sz w:val="32"/>
          <w:szCs w:val="32"/>
          <w:highlight w:val="green"/>
          <w:lang w:eastAsia="zh-CN"/>
        </w:rPr>
        <w:drawing>
          <wp:inline distT="0" distB="0" distL="114300" distR="114300">
            <wp:extent cx="4774565" cy="3735070"/>
            <wp:effectExtent l="4445" t="4445" r="21590" b="1333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56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28"/>
          <w:szCs w:val="28"/>
          <w:highlight w:val="none"/>
          <w14:textFill>
            <w14:solidFill>
              <w14:schemeClr w14:val="tx1"/>
            </w14:solidFill>
          </w14:textFill>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highlight w:val="none"/>
        </w:rPr>
      </w:pPr>
      <w:bookmarkStart w:id="35" w:name="_Toc15377211"/>
      <w:r>
        <w:rPr>
          <w:rFonts w:hint="eastAsia" w:ascii="仿宋" w:hAnsi="仿宋" w:eastAsia="仿宋"/>
          <w:b/>
          <w:color w:val="000000"/>
          <w:sz w:val="32"/>
          <w:szCs w:val="32"/>
          <w:highlight w:val="none"/>
        </w:rPr>
        <w:t>（二）一般公共预算财政拨款支出决算结构情况</w:t>
      </w:r>
      <w:bookmarkEnd w:id="35"/>
    </w:p>
    <w:p>
      <w:pPr>
        <w:spacing w:line="600" w:lineRule="exact"/>
        <w:ind w:firstLine="640"/>
        <w:rPr>
          <w:rFonts w:hint="eastAsia" w:ascii="仿宋" w:hAnsi="仿宋" w:eastAsia="仿宋"/>
          <w:b/>
          <w:color w:val="000000" w:themeColor="text1"/>
          <w:sz w:val="32"/>
          <w:szCs w:val="32"/>
          <w:highlight w:val="none"/>
          <w:lang w:eastAsia="zh-CN"/>
          <w14:textFill>
            <w14:solidFill>
              <w14:schemeClr w14:val="tx1"/>
            </w14:solidFill>
          </w14:textFill>
        </w:rPr>
      </w:pPr>
      <w:r>
        <w:rPr>
          <w:rFonts w:ascii="仿宋" w:hAnsi="仿宋" w:eastAsia="仿宋"/>
          <w:color w:val="000000"/>
          <w:sz w:val="32"/>
          <w:szCs w:val="32"/>
          <w:highlight w:val="none"/>
        </w:rPr>
        <w:t>201</w:t>
      </w:r>
      <w:r>
        <w:rPr>
          <w:rFonts w:hint="eastAsia" w:ascii="仿宋" w:hAnsi="仿宋" w:eastAsia="仿宋"/>
          <w:color w:val="000000"/>
          <w:sz w:val="32"/>
          <w:szCs w:val="32"/>
          <w:highlight w:val="none"/>
        </w:rPr>
        <w:t>9年一般公共预算财</w:t>
      </w:r>
      <w:r>
        <w:rPr>
          <w:rFonts w:hint="eastAsia" w:ascii="仿宋" w:hAnsi="仿宋" w:eastAsia="仿宋"/>
          <w:color w:val="000000" w:themeColor="text1"/>
          <w:sz w:val="32"/>
          <w:szCs w:val="32"/>
          <w:highlight w:val="none"/>
          <w14:textFill>
            <w14:solidFill>
              <w14:schemeClr w14:val="tx1"/>
            </w14:solidFill>
          </w14:textFill>
        </w:rPr>
        <w:t>政拨款支出</w:t>
      </w:r>
      <w:r>
        <w:rPr>
          <w:rFonts w:hint="eastAsia" w:ascii="仿宋" w:hAnsi="仿宋" w:eastAsia="仿宋"/>
          <w:color w:val="000000" w:themeColor="text1"/>
          <w:sz w:val="32"/>
          <w:szCs w:val="32"/>
          <w:highlight w:val="none"/>
          <w:lang w:val="en-US" w:eastAsia="zh-CN"/>
          <w14:textFill>
            <w14:solidFill>
              <w14:schemeClr w14:val="tx1"/>
            </w14:solidFill>
          </w14:textFill>
        </w:rPr>
        <w:t>1214.87</w:t>
      </w:r>
      <w:r>
        <w:rPr>
          <w:rFonts w:hint="eastAsia" w:ascii="仿宋" w:hAnsi="仿宋" w:eastAsia="仿宋"/>
          <w:color w:val="000000" w:themeColor="text1"/>
          <w:sz w:val="32"/>
          <w:szCs w:val="32"/>
          <w:highlight w:val="none"/>
          <w14:textFill>
            <w14:solidFill>
              <w14:schemeClr w14:val="tx1"/>
            </w14:solidFill>
          </w14:textFill>
        </w:rPr>
        <w:t>万元，主要用于以下方面</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val="0"/>
          <w:bCs/>
          <w:color w:val="000000" w:themeColor="text1"/>
          <w:sz w:val="32"/>
          <w:szCs w:val="32"/>
          <w:highlight w:val="none"/>
          <w14:textFill>
            <w14:solidFill>
              <w14:schemeClr w14:val="tx1"/>
            </w14:solidFill>
          </w14:textFill>
        </w:rPr>
        <w:t>社会保障和就业（</w:t>
      </w:r>
      <w:r>
        <w:rPr>
          <w:rFonts w:hint="eastAsia" w:ascii="仿宋" w:hAnsi="仿宋" w:eastAsia="仿宋"/>
          <w:b w:val="0"/>
          <w:bCs/>
          <w:color w:val="000000" w:themeColor="text1"/>
          <w:sz w:val="32"/>
          <w:szCs w:val="32"/>
          <w:highlight w:val="none"/>
          <w:lang w:val="en-US" w:eastAsia="zh-CN"/>
          <w14:textFill>
            <w14:solidFill>
              <w14:schemeClr w14:val="tx1"/>
            </w14:solidFill>
          </w14:textFill>
        </w:rPr>
        <w:t>208</w:t>
      </w:r>
      <w:r>
        <w:rPr>
          <w:rFonts w:hint="eastAsia" w:ascii="仿宋" w:hAnsi="仿宋" w:eastAsia="仿宋"/>
          <w:b w:val="0"/>
          <w:bCs/>
          <w:color w:val="000000" w:themeColor="text1"/>
          <w:sz w:val="32"/>
          <w:szCs w:val="32"/>
          <w:highlight w:val="none"/>
          <w14:textFill>
            <w14:solidFill>
              <w14:schemeClr w14:val="tx1"/>
            </w14:solidFill>
          </w14:textFill>
        </w:rPr>
        <w:t>）支出</w:t>
      </w:r>
      <w:r>
        <w:rPr>
          <w:rFonts w:hint="eastAsia" w:ascii="仿宋" w:hAnsi="仿宋" w:eastAsia="仿宋"/>
          <w:b w:val="0"/>
          <w:bCs/>
          <w:color w:val="000000" w:themeColor="text1"/>
          <w:sz w:val="32"/>
          <w:szCs w:val="32"/>
          <w:highlight w:val="none"/>
          <w:lang w:val="en-US" w:eastAsia="zh-CN"/>
          <w14:textFill>
            <w14:solidFill>
              <w14:schemeClr w14:val="tx1"/>
            </w14:solidFill>
          </w14:textFill>
        </w:rPr>
        <w:t>52.27</w:t>
      </w:r>
      <w:r>
        <w:rPr>
          <w:rFonts w:hint="eastAsia" w:ascii="仿宋" w:hAnsi="仿宋" w:eastAsia="仿宋"/>
          <w:b w:val="0"/>
          <w:bCs/>
          <w:color w:val="000000" w:themeColor="text1"/>
          <w:sz w:val="32"/>
          <w:szCs w:val="32"/>
          <w:highlight w:val="none"/>
          <w14:textFill>
            <w14:solidFill>
              <w14:schemeClr w14:val="tx1"/>
            </w14:solidFill>
          </w14:textFill>
        </w:rPr>
        <w:t>万元，占</w:t>
      </w:r>
      <w:r>
        <w:rPr>
          <w:rFonts w:hint="eastAsia" w:ascii="仿宋" w:hAnsi="仿宋" w:eastAsia="仿宋"/>
          <w:b w:val="0"/>
          <w:bCs/>
          <w:color w:val="000000" w:themeColor="text1"/>
          <w:sz w:val="32"/>
          <w:szCs w:val="32"/>
          <w:highlight w:val="none"/>
          <w:lang w:val="en-US" w:eastAsia="zh-CN"/>
          <w14:textFill>
            <w14:solidFill>
              <w14:schemeClr w14:val="tx1"/>
            </w14:solidFill>
          </w14:textFill>
        </w:rPr>
        <w:t>4.3</w:t>
      </w:r>
      <w:r>
        <w:rPr>
          <w:rFonts w:ascii="仿宋" w:hAnsi="仿宋" w:eastAsia="仿宋"/>
          <w:b w:val="0"/>
          <w:bCs/>
          <w:color w:val="000000" w:themeColor="text1"/>
          <w:sz w:val="32"/>
          <w:szCs w:val="32"/>
          <w:highlight w:val="none"/>
          <w14:textFill>
            <w14:solidFill>
              <w14:schemeClr w14:val="tx1"/>
            </w14:solidFill>
          </w14:textFill>
        </w:rPr>
        <w:t>%</w:t>
      </w:r>
      <w:r>
        <w:rPr>
          <w:rFonts w:hint="eastAsia" w:ascii="仿宋" w:hAnsi="仿宋" w:eastAsia="仿宋"/>
          <w:b w:val="0"/>
          <w:bCs/>
          <w:color w:val="000000" w:themeColor="text1"/>
          <w:sz w:val="32"/>
          <w:szCs w:val="32"/>
          <w:highlight w:val="none"/>
          <w14:textFill>
            <w14:solidFill>
              <w14:schemeClr w14:val="tx1"/>
            </w14:solidFill>
          </w14:textFill>
        </w:rPr>
        <w:t>；卫生健康支出</w:t>
      </w:r>
      <w:r>
        <w:rPr>
          <w:rFonts w:hint="eastAsia" w:ascii="仿宋" w:hAnsi="仿宋" w:eastAsia="仿宋"/>
          <w:b w:val="0"/>
          <w:bCs/>
          <w:color w:val="000000" w:themeColor="text1"/>
          <w:sz w:val="32"/>
          <w:szCs w:val="32"/>
          <w:highlight w:val="none"/>
          <w:lang w:eastAsia="zh-CN"/>
          <w14:textFill>
            <w14:solidFill>
              <w14:schemeClr w14:val="tx1"/>
            </w14:solidFill>
          </w14:textFill>
        </w:rPr>
        <w:t>（</w:t>
      </w:r>
      <w:r>
        <w:rPr>
          <w:rFonts w:hint="eastAsia" w:ascii="仿宋" w:hAnsi="仿宋" w:eastAsia="仿宋"/>
          <w:b w:val="0"/>
          <w:bCs/>
          <w:color w:val="000000" w:themeColor="text1"/>
          <w:sz w:val="32"/>
          <w:szCs w:val="32"/>
          <w:highlight w:val="none"/>
          <w:lang w:val="en-US" w:eastAsia="zh-CN"/>
          <w14:textFill>
            <w14:solidFill>
              <w14:schemeClr w14:val="tx1"/>
            </w14:solidFill>
          </w14:textFill>
        </w:rPr>
        <w:t>210</w:t>
      </w:r>
      <w:r>
        <w:rPr>
          <w:rFonts w:hint="eastAsia" w:ascii="仿宋" w:hAnsi="仿宋" w:eastAsia="仿宋"/>
          <w:b w:val="0"/>
          <w:bCs/>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498.91</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41.07</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农林水支出</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213</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629</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51.78</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住房保障支出</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221</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lang w:val="en-US" w:eastAsia="zh-CN"/>
          <w14:textFill>
            <w14:solidFill>
              <w14:schemeClr w14:val="tx1"/>
            </w14:solidFill>
          </w14:textFill>
        </w:rPr>
        <w:t>34.69万元，占2.86%</w:t>
      </w:r>
      <w:r>
        <w:rPr>
          <w:rFonts w:hint="eastAsia" w:ascii="仿宋" w:hAnsi="仿宋" w:eastAsia="仿宋"/>
          <w:color w:val="000000" w:themeColor="text1"/>
          <w:sz w:val="32"/>
          <w:szCs w:val="32"/>
          <w:highlight w:val="none"/>
          <w:lang w:eastAsia="zh-CN"/>
          <w14:textFill>
            <w14:solidFill>
              <w14:schemeClr w14:val="tx1"/>
            </w14:solidFill>
          </w14:textFill>
        </w:rPr>
        <w:t>。</w:t>
      </w:r>
    </w:p>
    <w:p>
      <w:pPr>
        <w:spacing w:line="600" w:lineRule="exact"/>
        <w:ind w:firstLine="640"/>
        <w:rPr>
          <w:rFonts w:hint="eastAsia" w:ascii="仿宋" w:hAnsi="仿宋" w:eastAsia="仿宋"/>
          <w:color w:val="000000" w:themeColor="text1"/>
          <w:sz w:val="32"/>
          <w:szCs w:val="32"/>
          <w:highlight w:val="green"/>
          <w:lang w:eastAsia="zh-CN"/>
          <w14:textFill>
            <w14:solidFill>
              <w14:schemeClr w14:val="tx1"/>
            </w14:solidFill>
          </w14:textFill>
        </w:rPr>
      </w:pPr>
    </w:p>
    <w:p>
      <w:pPr>
        <w:pStyle w:val="2"/>
        <w:rPr>
          <w:rFonts w:ascii="仿宋" w:hAnsi="仿宋" w:eastAsia="仿宋"/>
          <w:color w:val="000000" w:themeColor="text1"/>
          <w:sz w:val="32"/>
          <w:szCs w:val="32"/>
          <w:highlight w:val="green"/>
          <w14:textFill>
            <w14:solidFill>
              <w14:schemeClr w14:val="tx1"/>
            </w14:solidFill>
          </w14:textFill>
        </w:rPr>
      </w:pPr>
    </w:p>
    <w:p>
      <w:pPr>
        <w:pStyle w:val="2"/>
        <w:rPr>
          <w:rFonts w:ascii="仿宋" w:hAnsi="仿宋" w:eastAsia="仿宋"/>
          <w:color w:val="000000" w:themeColor="text1"/>
          <w:sz w:val="32"/>
          <w:szCs w:val="32"/>
          <w:highlight w:val="green"/>
          <w14:textFill>
            <w14:solidFill>
              <w14:schemeClr w14:val="tx1"/>
            </w14:solidFill>
          </w14:textFill>
        </w:rPr>
      </w:pPr>
    </w:p>
    <w:p>
      <w:pPr>
        <w:pStyle w:val="2"/>
        <w:rPr>
          <w:rFonts w:ascii="仿宋" w:hAnsi="仿宋" w:eastAsia="仿宋"/>
          <w:color w:val="000000" w:themeColor="text1"/>
          <w:sz w:val="32"/>
          <w:szCs w:val="32"/>
          <w:highlight w:val="green"/>
          <w14:textFill>
            <w14:solidFill>
              <w14:schemeClr w14:val="tx1"/>
            </w14:solidFill>
          </w14:textFill>
        </w:rPr>
      </w:pPr>
    </w:p>
    <w:p>
      <w:pPr>
        <w:pStyle w:val="2"/>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lang w:eastAsia="zh-CN"/>
          <w14:textFill>
            <w14:solidFill>
              <w14:schemeClr w14:val="tx1"/>
            </w14:solidFill>
          </w14:textFill>
        </w:rPr>
        <w:drawing>
          <wp:inline distT="0" distB="0" distL="114300" distR="114300">
            <wp:extent cx="4679315" cy="3494405"/>
            <wp:effectExtent l="5080" t="4445" r="20955" b="63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560" w:firstLineChars="200"/>
        <w:rPr>
          <w:rFonts w:ascii="仿宋" w:hAnsi="仿宋" w:eastAsia="仿宋"/>
          <w:color w:val="000000"/>
          <w:sz w:val="32"/>
          <w:szCs w:val="32"/>
          <w:highlight w:val="none"/>
        </w:rPr>
      </w:pPr>
      <w:r>
        <w:rPr>
          <w:rFonts w:hint="eastAsia" w:ascii="仿宋" w:hAnsi="仿宋" w:eastAsia="仿宋"/>
          <w:color w:val="000000" w:themeColor="text1"/>
          <w:sz w:val="28"/>
          <w:szCs w:val="28"/>
          <w:highlight w:val="none"/>
          <w14:textFill>
            <w14:solidFill>
              <w14:schemeClr w14:val="tx1"/>
            </w14:solidFill>
          </w14:textFill>
        </w:rPr>
        <w:t>（图6：一般公共预算财政拨款支出决算结构）（饼状图）</w:t>
      </w:r>
    </w:p>
    <w:p>
      <w:pPr>
        <w:spacing w:line="600" w:lineRule="exact"/>
        <w:ind w:firstLine="643" w:firstLineChars="200"/>
        <w:outlineLvl w:val="2"/>
        <w:rPr>
          <w:rFonts w:ascii="仿宋" w:hAnsi="仿宋" w:eastAsia="仿宋"/>
          <w:b/>
          <w:color w:val="000000"/>
          <w:sz w:val="32"/>
          <w:szCs w:val="32"/>
          <w:highlight w:val="none"/>
        </w:rPr>
      </w:pPr>
      <w:bookmarkStart w:id="36" w:name="_Toc15377212"/>
      <w:r>
        <w:rPr>
          <w:rFonts w:hint="eastAsia" w:ascii="仿宋" w:hAnsi="仿宋" w:eastAsia="仿宋"/>
          <w:b/>
          <w:color w:val="000000"/>
          <w:sz w:val="32"/>
          <w:szCs w:val="32"/>
          <w:highlight w:val="none"/>
        </w:rPr>
        <w:t>（三）一般公共预算财政拨款支出决算具体情况</w:t>
      </w:r>
      <w:bookmarkEnd w:id="36"/>
    </w:p>
    <w:p>
      <w:pPr>
        <w:spacing w:line="600" w:lineRule="exact"/>
        <w:ind w:firstLine="640" w:firstLineChars="200"/>
        <w:outlineLvl w:val="2"/>
        <w:rPr>
          <w:rStyle w:val="14"/>
          <w:rFonts w:hint="eastAsia" w:ascii="仿宋" w:hAnsi="仿宋" w:eastAsia="仿宋"/>
          <w:b w:val="0"/>
          <w:bCs/>
          <w:color w:val="000000"/>
          <w:sz w:val="32"/>
          <w:szCs w:val="32"/>
          <w:highlight w:val="none"/>
        </w:rPr>
      </w:pPr>
      <w:bookmarkStart w:id="37" w:name="_Toc15378460"/>
      <w:bookmarkStart w:id="38" w:name="_Toc15377213"/>
      <w:bookmarkStart w:id="39" w:name="_Toc15377444"/>
      <w:r>
        <w:rPr>
          <w:rFonts w:hint="eastAsia" w:ascii="仿宋" w:hAnsi="仿宋" w:eastAsia="仿宋"/>
          <w:b w:val="0"/>
          <w:bCs/>
          <w:color w:val="000000" w:themeColor="text1"/>
          <w:sz w:val="32"/>
          <w:szCs w:val="32"/>
          <w:highlight w:val="none"/>
          <w14:textFill>
            <w14:solidFill>
              <w14:schemeClr w14:val="tx1"/>
            </w14:solidFill>
          </w14:textFill>
        </w:rPr>
        <w:t>2019年般公共预算支出决算数为</w:t>
      </w:r>
      <w:r>
        <w:rPr>
          <w:rFonts w:hint="eastAsia" w:ascii="仿宋" w:hAnsi="仿宋" w:eastAsia="仿宋"/>
          <w:b w:val="0"/>
          <w:bCs/>
          <w:color w:val="000000" w:themeColor="text1"/>
          <w:sz w:val="32"/>
          <w:szCs w:val="32"/>
          <w:highlight w:val="none"/>
          <w:lang w:val="en-US" w:eastAsia="zh-CN"/>
          <w14:textFill>
            <w14:solidFill>
              <w14:schemeClr w14:val="tx1"/>
            </w14:solidFill>
          </w14:textFill>
        </w:rPr>
        <w:t>1214.86</w:t>
      </w:r>
      <w:r>
        <w:rPr>
          <w:rFonts w:hint="eastAsia" w:ascii="仿宋" w:hAnsi="仿宋" w:eastAsia="仿宋"/>
          <w:b w:val="0"/>
          <w:bCs/>
          <w:color w:val="000000" w:themeColor="text1"/>
          <w:sz w:val="32"/>
          <w:szCs w:val="32"/>
          <w:highlight w:val="none"/>
          <w14:textFill>
            <w14:solidFill>
              <w14:schemeClr w14:val="tx1"/>
            </w14:solidFill>
          </w14:textFill>
        </w:rPr>
        <w:t>，</w:t>
      </w:r>
      <w:r>
        <w:rPr>
          <w:rStyle w:val="14"/>
          <w:rFonts w:hint="eastAsia" w:ascii="仿宋" w:hAnsi="仿宋" w:eastAsia="仿宋"/>
          <w:b w:val="0"/>
          <w:bCs/>
          <w:color w:val="000000" w:themeColor="text1"/>
          <w:sz w:val="32"/>
          <w:szCs w:val="32"/>
          <w:highlight w:val="none"/>
          <w14:textFill>
            <w14:solidFill>
              <w14:schemeClr w14:val="tx1"/>
            </w14:solidFill>
          </w14:textFill>
        </w:rPr>
        <w:t>完成</w:t>
      </w:r>
      <w:r>
        <w:rPr>
          <w:rStyle w:val="14"/>
          <w:rFonts w:hint="eastAsia" w:ascii="仿宋" w:hAnsi="仿宋" w:eastAsia="仿宋"/>
          <w:b w:val="0"/>
          <w:bCs/>
          <w:color w:val="000000"/>
          <w:sz w:val="32"/>
          <w:szCs w:val="32"/>
          <w:highlight w:val="none"/>
        </w:rPr>
        <w:t>预算</w:t>
      </w:r>
      <w:r>
        <w:rPr>
          <w:rStyle w:val="14"/>
          <w:rFonts w:hint="eastAsia" w:ascii="仿宋" w:hAnsi="仿宋" w:eastAsia="仿宋"/>
          <w:b w:val="0"/>
          <w:bCs/>
          <w:color w:val="000000"/>
          <w:sz w:val="32"/>
          <w:szCs w:val="32"/>
          <w:highlight w:val="none"/>
          <w:lang w:val="en-US" w:eastAsia="zh-CN"/>
        </w:rPr>
        <w:t>99.56</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rPr>
        <w:t>。其中：</w:t>
      </w:r>
      <w:bookmarkEnd w:id="37"/>
      <w:bookmarkEnd w:id="38"/>
      <w:bookmarkEnd w:id="39"/>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社会保障和就业支出（208）行政事业单位离退休（05）机关事业单位基本养老保险缴费支出（05）：本年支出35.77万元，完成预算100%；</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社会保障和就业支出（208）行政事业单位离退休（05）机关事业单位职业年金缴费支出（06）：本年支出16.5万元，完成预算数100%；</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卫生健康支出（210）行政事业单位医疗（11）行政单位医疗（01）：本年支出19.68万元，完成预算数100%；</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卫生健康支出（210）行政事业单位医疗（11）公务员医疗补助（03）：本年支出3.79万元，完成预算数100%；</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卫生健康支出（210）医疗保障管理事务（15）行政运行（01）：本年支出</w:t>
      </w:r>
      <w:r>
        <w:rPr>
          <w:rFonts w:hint="eastAsia" w:ascii="仿宋_GB2312" w:hAnsi="仿宋" w:eastAsia="仿宋_GB2312"/>
          <w:sz w:val="32"/>
          <w:szCs w:val="32"/>
          <w:lang w:val="en-US" w:eastAsia="zh-CN"/>
        </w:rPr>
        <w:t>415.95</w:t>
      </w:r>
      <w:r>
        <w:rPr>
          <w:rFonts w:hint="eastAsia" w:ascii="仿宋_GB2312" w:hAnsi="仿宋" w:eastAsia="仿宋_GB2312"/>
          <w:sz w:val="32"/>
          <w:szCs w:val="32"/>
        </w:rPr>
        <w:t>万元，完成预算数98.84%；与预算差异原因为：本年预算购置公务用车购置税费等，因年暂未支付结转下年4.86万元。</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卫生健康支出（210）医疗保障管理事务（15） 一般行政管理事务（02）：本年支出</w:t>
      </w:r>
      <w:r>
        <w:rPr>
          <w:rFonts w:hint="eastAsia" w:ascii="仿宋_GB2312" w:hAnsi="仿宋" w:eastAsia="仿宋_GB2312"/>
          <w:sz w:val="32"/>
          <w:szCs w:val="32"/>
          <w:lang w:val="en-US" w:eastAsia="zh-CN"/>
        </w:rPr>
        <w:t>59.48</w:t>
      </w:r>
      <w:r>
        <w:rPr>
          <w:rFonts w:hint="eastAsia" w:ascii="仿宋_GB2312" w:hAnsi="仿宋" w:eastAsia="仿宋_GB2312"/>
          <w:sz w:val="32"/>
          <w:szCs w:val="32"/>
        </w:rPr>
        <w:t>万元，完成调整预算数99.13%；与预算差异原因为：本年预算购置公务用车购置税费等，因年暂未支付结转下年0.52万元。</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农林水支出（213）扶贫（05）其他扶贫支出（99）：本年支出629万元,完成预算100%；</w:t>
      </w:r>
    </w:p>
    <w:p>
      <w:pPr>
        <w:snapToGrid w:val="0"/>
        <w:spacing w:line="520" w:lineRule="exact"/>
        <w:ind w:firstLine="640" w:firstLineChars="200"/>
      </w:pPr>
      <w:r>
        <w:rPr>
          <w:rFonts w:hint="eastAsia" w:ascii="仿宋_GB2312" w:hAnsi="仿宋" w:eastAsia="仿宋_GB2312"/>
          <w:sz w:val="32"/>
          <w:szCs w:val="32"/>
        </w:rPr>
        <w:t>住房保障支出（221）住房改革支出（02）住房公积金（01）：本年支出34.69万元，完成调整预算数100%；</w:t>
      </w:r>
    </w:p>
    <w:p>
      <w:pPr>
        <w:tabs>
          <w:tab w:val="right" w:pos="8306"/>
        </w:tabs>
        <w:spacing w:line="600" w:lineRule="exact"/>
        <w:ind w:firstLine="640"/>
        <w:outlineLvl w:val="1"/>
        <w:rPr>
          <w:rStyle w:val="17"/>
          <w:highlight w:val="none"/>
        </w:rPr>
      </w:pPr>
      <w:bookmarkStart w:id="40" w:name="_Toc15377214"/>
      <w:bookmarkStart w:id="41" w:name="_Toc15396608"/>
      <w:r>
        <w:rPr>
          <w:rFonts w:hint="eastAsia" w:ascii="黑体" w:eastAsia="黑体"/>
          <w:color w:val="000000"/>
          <w:sz w:val="32"/>
          <w:szCs w:val="32"/>
          <w:highlight w:val="none"/>
        </w:rPr>
        <w:t>六</w:t>
      </w:r>
      <w:r>
        <w:rPr>
          <w:rFonts w:hint="eastAsia" w:ascii="黑体" w:eastAsia="黑体"/>
          <w:b/>
          <w:color w:val="000000"/>
          <w:sz w:val="32"/>
          <w:szCs w:val="32"/>
          <w:highlight w:val="none"/>
        </w:rPr>
        <w:t>、</w:t>
      </w:r>
      <w:r>
        <w:rPr>
          <w:rFonts w:hint="eastAsia" w:ascii="黑体" w:hAnsi="黑体" w:eastAsia="黑体"/>
          <w:b/>
          <w:color w:val="000000"/>
          <w:sz w:val="32"/>
          <w:szCs w:val="32"/>
          <w:highlight w:val="none"/>
        </w:rPr>
        <w:t>一</w:t>
      </w:r>
      <w:r>
        <w:rPr>
          <w:rStyle w:val="17"/>
          <w:rFonts w:hint="eastAsia" w:ascii="黑体" w:hAnsi="黑体" w:eastAsia="黑体"/>
          <w:b w:val="0"/>
          <w:highlight w:val="none"/>
        </w:rPr>
        <w:t>般公共预算财政拨款基本支出决算情况说明</w:t>
      </w:r>
      <w:bookmarkEnd w:id="40"/>
      <w:bookmarkEnd w:id="41"/>
      <w:r>
        <w:rPr>
          <w:rStyle w:val="17"/>
          <w:rFonts w:ascii="黑体" w:hAnsi="黑体" w:eastAsia="黑体"/>
          <w:b w:val="0"/>
          <w:highlight w:val="none"/>
        </w:rPr>
        <w:tab/>
      </w:r>
    </w:p>
    <w:p>
      <w:pPr>
        <w:spacing w:line="600" w:lineRule="exact"/>
        <w:ind w:firstLine="645"/>
        <w:rPr>
          <w:rFonts w:ascii="仿宋" w:hAnsi="仿宋" w:eastAsia="仿宋"/>
          <w:color w:val="000000"/>
          <w:sz w:val="32"/>
          <w:szCs w:val="32"/>
          <w:highlight w:val="none"/>
        </w:rPr>
      </w:pPr>
      <w:r>
        <w:rPr>
          <w:rFonts w:ascii="仿宋" w:hAnsi="仿宋" w:eastAsia="仿宋"/>
          <w:color w:val="000000"/>
          <w:sz w:val="32"/>
          <w:szCs w:val="32"/>
          <w:highlight w:val="none"/>
        </w:rPr>
        <w:t>201</w:t>
      </w:r>
      <w:r>
        <w:rPr>
          <w:rFonts w:hint="eastAsia" w:ascii="仿宋" w:hAnsi="仿宋" w:eastAsia="仿宋"/>
          <w:color w:val="000000"/>
          <w:sz w:val="32"/>
          <w:szCs w:val="32"/>
          <w:highlight w:val="none"/>
        </w:rPr>
        <w:t>9年一般公共预算财政拨款基本支出</w:t>
      </w:r>
      <w:r>
        <w:rPr>
          <w:rFonts w:hint="eastAsia" w:ascii="仿宋" w:hAnsi="仿宋" w:eastAsia="仿宋"/>
          <w:color w:val="000000"/>
          <w:sz w:val="32"/>
          <w:szCs w:val="32"/>
          <w:highlight w:val="none"/>
          <w:lang w:val="en-US" w:eastAsia="zh-CN"/>
        </w:rPr>
        <w:t>526.38</w:t>
      </w:r>
      <w:r>
        <w:rPr>
          <w:rFonts w:hint="eastAsia" w:ascii="仿宋" w:hAnsi="仿宋" w:eastAsia="仿宋"/>
          <w:color w:val="000000"/>
          <w:sz w:val="32"/>
          <w:szCs w:val="32"/>
          <w:highlight w:val="none"/>
        </w:rPr>
        <w:t>万元，其中：</w:t>
      </w:r>
    </w:p>
    <w:p>
      <w:pPr>
        <w:spacing w:line="600" w:lineRule="exact"/>
        <w:ind w:firstLine="645"/>
        <w:rPr>
          <w:rFonts w:ascii="仿宋" w:hAnsi="仿宋" w:eastAsia="仿宋"/>
          <w:color w:val="000000"/>
          <w:sz w:val="32"/>
          <w:szCs w:val="32"/>
          <w:highlight w:val="green"/>
        </w:rPr>
      </w:pPr>
      <w:r>
        <w:rPr>
          <w:rFonts w:hint="eastAsia" w:ascii="仿宋" w:hAnsi="仿宋" w:eastAsia="仿宋"/>
          <w:color w:val="000000"/>
          <w:sz w:val="32"/>
          <w:szCs w:val="32"/>
          <w:highlight w:val="none"/>
        </w:rPr>
        <w:t>人员经费</w:t>
      </w:r>
      <w:r>
        <w:rPr>
          <w:rFonts w:hint="eastAsia" w:ascii="仿宋" w:hAnsi="仿宋" w:eastAsia="仿宋"/>
          <w:color w:val="000000"/>
          <w:sz w:val="32"/>
          <w:szCs w:val="32"/>
          <w:highlight w:val="none"/>
          <w:lang w:val="en-US" w:eastAsia="zh-CN"/>
        </w:rPr>
        <w:t>442.33</w:t>
      </w:r>
      <w:r>
        <w:rPr>
          <w:rFonts w:hint="eastAsia" w:ascii="仿宋" w:hAnsi="仿宋" w:eastAsia="仿宋"/>
          <w:color w:val="000000"/>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highlight w:val="none"/>
        </w:rPr>
        <w:br w:type="textWrapping"/>
      </w:r>
      <w:r>
        <w:rPr>
          <w:rFonts w:hint="eastAsia" w:ascii="仿宋" w:hAnsi="仿宋" w:eastAsia="仿宋"/>
          <w:color w:val="000000"/>
          <w:sz w:val="32"/>
          <w:szCs w:val="32"/>
          <w:highlight w:val="none"/>
        </w:rPr>
        <w:t>　　日常公用经费</w:t>
      </w:r>
      <w:r>
        <w:rPr>
          <w:rFonts w:hint="eastAsia" w:ascii="仿宋" w:hAnsi="仿宋" w:eastAsia="仿宋"/>
          <w:color w:val="000000"/>
          <w:sz w:val="32"/>
          <w:szCs w:val="32"/>
          <w:highlight w:val="none"/>
          <w:lang w:val="en-US" w:eastAsia="zh-CN"/>
        </w:rPr>
        <w:t>84.05</w:t>
      </w:r>
      <w:r>
        <w:rPr>
          <w:rFonts w:hint="eastAsia" w:ascii="仿宋" w:hAnsi="仿宋" w:eastAsia="仿宋"/>
          <w:color w:val="000000"/>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17"/>
          <w:rFonts w:ascii="黑体" w:hAnsi="黑体" w:eastAsia="黑体"/>
          <w:b w:val="0"/>
          <w:highlight w:val="none"/>
        </w:rPr>
      </w:pPr>
      <w:bookmarkStart w:id="42" w:name="_Toc15396609"/>
      <w:bookmarkStart w:id="43" w:name="_Toc15377215"/>
      <w:r>
        <w:rPr>
          <w:rFonts w:hint="eastAsia" w:ascii="黑体" w:eastAsia="黑体"/>
          <w:color w:val="000000"/>
          <w:sz w:val="32"/>
          <w:szCs w:val="32"/>
          <w:highlight w:val="none"/>
        </w:rPr>
        <w:t>七、</w:t>
      </w:r>
      <w:r>
        <w:rPr>
          <w:rStyle w:val="17"/>
          <w:rFonts w:hint="eastAsia" w:ascii="黑体" w:hAnsi="黑体" w:eastAsia="黑体"/>
          <w:highlight w:val="none"/>
        </w:rPr>
        <w:t>“</w:t>
      </w:r>
      <w:r>
        <w:rPr>
          <w:rStyle w:val="17"/>
          <w:rFonts w:hint="eastAsia" w:ascii="黑体" w:hAnsi="黑体" w:eastAsia="黑体"/>
          <w:b w:val="0"/>
          <w:highlight w:val="none"/>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highlight w:val="none"/>
        </w:rPr>
      </w:pPr>
      <w:bookmarkStart w:id="44" w:name="_Toc15377216"/>
      <w:r>
        <w:rPr>
          <w:rFonts w:hint="eastAsia" w:ascii="仿宋" w:hAnsi="仿宋" w:eastAsia="仿宋"/>
          <w:b/>
          <w:color w:val="000000"/>
          <w:sz w:val="32"/>
          <w:szCs w:val="32"/>
          <w:highlight w:val="none"/>
        </w:rPr>
        <w:t>（一）“三公”经费财政拨款支出决算总体情况说明</w:t>
      </w:r>
      <w:bookmarkEnd w:id="44"/>
    </w:p>
    <w:p>
      <w:pPr>
        <w:spacing w:line="600" w:lineRule="exact"/>
        <w:ind w:firstLine="640"/>
        <w:rPr>
          <w:rFonts w:hint="eastAsia" w:ascii="仿宋" w:hAnsi="仿宋" w:eastAsia="仿宋"/>
          <w:b/>
          <w:color w:val="FF0000"/>
          <w:sz w:val="32"/>
          <w:szCs w:val="32"/>
          <w:highlight w:val="green"/>
          <w:lang w:eastAsia="zh-CN"/>
        </w:rPr>
      </w:pPr>
      <w:r>
        <w:rPr>
          <w:rFonts w:ascii="仿宋" w:hAnsi="仿宋" w:eastAsia="仿宋"/>
          <w:color w:val="000000"/>
          <w:sz w:val="32"/>
          <w:szCs w:val="32"/>
          <w:highlight w:val="none"/>
        </w:rPr>
        <w:t>201</w:t>
      </w:r>
      <w:r>
        <w:rPr>
          <w:rFonts w:hint="eastAsia" w:ascii="仿宋" w:hAnsi="仿宋" w:eastAsia="仿宋"/>
          <w:color w:val="000000"/>
          <w:sz w:val="32"/>
          <w:szCs w:val="32"/>
          <w:highlight w:val="none"/>
        </w:rPr>
        <w:t>9年“三公”经费财政拨款支出决算为</w:t>
      </w:r>
      <w:r>
        <w:rPr>
          <w:rFonts w:hint="eastAsia" w:ascii="仿宋" w:hAnsi="仿宋" w:eastAsia="仿宋"/>
          <w:color w:val="000000"/>
          <w:sz w:val="32"/>
          <w:szCs w:val="32"/>
          <w:highlight w:val="none"/>
          <w:lang w:val="en-US" w:eastAsia="zh-CN"/>
        </w:rPr>
        <w:t>66.09</w:t>
      </w:r>
      <w:r>
        <w:rPr>
          <w:rFonts w:hint="eastAsia" w:ascii="仿宋" w:hAnsi="仿宋" w:eastAsia="仿宋"/>
          <w:color w:val="000000"/>
          <w:sz w:val="32"/>
          <w:szCs w:val="32"/>
          <w:highlight w:val="none"/>
        </w:rPr>
        <w:t>万元，完成预算</w:t>
      </w:r>
      <w:r>
        <w:rPr>
          <w:rFonts w:hint="eastAsia" w:ascii="仿宋" w:hAnsi="仿宋" w:eastAsia="仿宋"/>
          <w:color w:val="000000"/>
          <w:sz w:val="32"/>
          <w:szCs w:val="32"/>
          <w:highlight w:val="none"/>
          <w:lang w:val="en-US" w:eastAsia="zh-CN"/>
        </w:rPr>
        <w:t>769.61%，决算数大于预算数的主要原因是</w:t>
      </w:r>
      <w:r>
        <w:rPr>
          <w:rFonts w:hint="eastAsia" w:ascii="仿宋_GB2312" w:eastAsia="仿宋_GB2312"/>
          <w:sz w:val="32"/>
          <w:szCs w:val="32"/>
          <w:highlight w:val="none"/>
          <w:lang w:val="en-US" w:eastAsia="zh-CN"/>
        </w:rPr>
        <w:t>经阿坝州公务用车制度改革和管理领导小组办公室研究</w:t>
      </w:r>
      <w:r>
        <w:rPr>
          <w:rFonts w:hint="eastAsia" w:ascii="仿宋_GB2312" w:eastAsia="仿宋_GB2312"/>
          <w:sz w:val="32"/>
          <w:szCs w:val="32"/>
          <w:highlight w:val="none"/>
        </w:rPr>
        <w:t>(阿州</w:t>
      </w:r>
      <w:r>
        <w:rPr>
          <w:rFonts w:hint="eastAsia" w:ascii="仿宋_GB2312" w:eastAsia="仿宋_GB2312"/>
          <w:sz w:val="32"/>
          <w:szCs w:val="32"/>
          <w:highlight w:val="none"/>
          <w:lang w:val="en-US" w:eastAsia="zh-CN"/>
        </w:rPr>
        <w:t>财库</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2019</w:t>
      </w:r>
      <w:r>
        <w:rPr>
          <w:rFonts w:hint="eastAsia" w:ascii="仿宋_GB2312" w:eastAsia="仿宋_GB2312"/>
          <w:sz w:val="32"/>
          <w:szCs w:val="32"/>
          <w:highlight w:val="none"/>
        </w:rPr>
        <w:t>〕1</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号)</w:t>
      </w:r>
      <w:r>
        <w:rPr>
          <w:rFonts w:hint="eastAsia" w:ascii="仿宋_GB2312" w:eastAsia="仿宋_GB2312"/>
          <w:sz w:val="32"/>
          <w:szCs w:val="32"/>
          <w:highlight w:val="none"/>
          <w:lang w:val="en-US" w:eastAsia="zh-CN"/>
        </w:rPr>
        <w:t>同意阿坝州医疗保障事务中心更新1辆排</w:t>
      </w:r>
      <w:r>
        <w:rPr>
          <w:rFonts w:hint="eastAsia" w:ascii="仿宋_GB2312" w:eastAsia="仿宋_GB2312"/>
          <w:sz w:val="32"/>
          <w:szCs w:val="32"/>
          <w:lang w:val="en-US" w:eastAsia="zh-CN"/>
        </w:rPr>
        <w:t>气量3.5升以下，价格60万元以内的国产越野型公务用车</w:t>
      </w:r>
      <w:r>
        <w:rPr>
          <w:rFonts w:hint="eastAsia" w:ascii="仿宋_GB2312" w:eastAsia="仿宋_GB2312"/>
          <w:sz w:val="32"/>
          <w:szCs w:val="32"/>
          <w:lang w:eastAsia="zh-CN"/>
        </w:rPr>
        <w:t>。</w:t>
      </w:r>
      <w:r>
        <w:rPr>
          <w:rFonts w:hint="eastAsia" w:ascii="仿宋_GB2312" w:eastAsia="仿宋_GB2312"/>
          <w:sz w:val="32"/>
          <w:szCs w:val="32"/>
          <w:lang w:val="en-US" w:eastAsia="zh-CN"/>
        </w:rPr>
        <w:t>我局于严格按照党政机关公务用车配备使用管理和政府采购有关规定，于12月购置公务用车一辆，金额594800元。</w:t>
      </w:r>
    </w:p>
    <w:p>
      <w:pPr>
        <w:spacing w:line="600" w:lineRule="exact"/>
        <w:ind w:firstLine="640"/>
        <w:outlineLvl w:val="2"/>
        <w:rPr>
          <w:rFonts w:ascii="仿宋" w:hAnsi="仿宋" w:eastAsia="仿宋"/>
          <w:b/>
          <w:color w:val="000000"/>
          <w:sz w:val="32"/>
          <w:szCs w:val="32"/>
          <w:highlight w:val="none"/>
        </w:rPr>
      </w:pPr>
      <w:bookmarkStart w:id="45" w:name="_Toc15377217"/>
      <w:r>
        <w:rPr>
          <w:rFonts w:hint="eastAsia" w:ascii="仿宋" w:hAnsi="仿宋" w:eastAsia="仿宋"/>
          <w:b/>
          <w:color w:val="000000"/>
          <w:sz w:val="32"/>
          <w:szCs w:val="32"/>
          <w:highlight w:val="none"/>
        </w:rPr>
        <w:t>（二）“三公”经费财政拨款支出决算具体情况说明</w:t>
      </w:r>
      <w:bookmarkEnd w:id="45"/>
    </w:p>
    <w:p>
      <w:pPr>
        <w:spacing w:line="600" w:lineRule="exact"/>
        <w:ind w:firstLine="640"/>
        <w:rPr>
          <w:rFonts w:hint="eastAsia" w:ascii="仿宋" w:hAnsi="仿宋" w:eastAsia="仿宋"/>
          <w:color w:val="000000"/>
          <w:sz w:val="32"/>
          <w:szCs w:val="32"/>
          <w:highlight w:val="none"/>
        </w:rPr>
      </w:pPr>
      <w:r>
        <w:rPr>
          <w:rFonts w:ascii="仿宋" w:hAnsi="仿宋" w:eastAsia="仿宋"/>
          <w:color w:val="000000"/>
          <w:sz w:val="32"/>
          <w:szCs w:val="32"/>
          <w:highlight w:val="none"/>
        </w:rPr>
        <w:t>201</w:t>
      </w:r>
      <w:r>
        <w:rPr>
          <w:rFonts w:hint="eastAsia" w:ascii="仿宋" w:hAnsi="仿宋" w:eastAsia="仿宋"/>
          <w:color w:val="000000"/>
          <w:sz w:val="32"/>
          <w:szCs w:val="32"/>
          <w:highlight w:val="none"/>
        </w:rPr>
        <w:t>9年“三公”经费财政拨款支出决算中，因公出国（境）费支出决算</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；公务用车购置及运行维护费支出决算</w:t>
      </w:r>
      <w:r>
        <w:rPr>
          <w:rFonts w:hint="eastAsia" w:ascii="仿宋" w:hAnsi="仿宋" w:eastAsia="仿宋"/>
          <w:color w:val="000000"/>
          <w:sz w:val="32"/>
          <w:szCs w:val="32"/>
          <w:highlight w:val="none"/>
          <w:lang w:val="en-US" w:eastAsia="zh-CN"/>
        </w:rPr>
        <w:t>66.09</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；公务接待费支出决算</w:t>
      </w:r>
      <w:r>
        <w:rPr>
          <w:rFonts w:hint="eastAsia" w:ascii="仿宋" w:hAnsi="仿宋" w:eastAsia="仿宋"/>
          <w:color w:val="000000"/>
          <w:sz w:val="32"/>
          <w:szCs w:val="32"/>
          <w:highlight w:val="none"/>
          <w:lang w:val="en-US" w:eastAsia="zh-CN"/>
        </w:rPr>
        <w:t>0</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。具体情况如下：</w:t>
      </w:r>
    </w:p>
    <w:p>
      <w:pPr>
        <w:pStyle w:val="2"/>
        <w:rPr>
          <w:rFonts w:hint="eastAsia" w:ascii="仿宋" w:hAnsi="仿宋" w:eastAsia="仿宋"/>
          <w:color w:val="000000"/>
          <w:sz w:val="32"/>
          <w:szCs w:val="32"/>
          <w:highlight w:val="green"/>
        </w:rPr>
      </w:pPr>
    </w:p>
    <w:p>
      <w:pPr>
        <w:pStyle w:val="2"/>
        <w:rPr>
          <w:rFonts w:hint="eastAsia" w:ascii="仿宋" w:hAnsi="仿宋" w:eastAsia="仿宋"/>
          <w:color w:val="000000"/>
          <w:sz w:val="32"/>
          <w:szCs w:val="32"/>
          <w:highlight w:val="green"/>
        </w:rPr>
      </w:pPr>
    </w:p>
    <w:p>
      <w:pPr>
        <w:pStyle w:val="2"/>
        <w:ind w:left="0" w:leftChars="0" w:firstLine="0" w:firstLineChars="0"/>
        <w:rPr>
          <w:rFonts w:hint="eastAsia" w:ascii="仿宋" w:hAnsi="仿宋" w:eastAsia="仿宋"/>
          <w:color w:val="000000"/>
          <w:sz w:val="32"/>
          <w:szCs w:val="32"/>
          <w:highlight w:val="green"/>
        </w:rPr>
      </w:pPr>
    </w:p>
    <w:p>
      <w:pPr>
        <w:pStyle w:val="2"/>
        <w:rPr>
          <w:rFonts w:hint="eastAsia" w:ascii="仿宋" w:hAnsi="仿宋" w:eastAsia="仿宋"/>
          <w:color w:val="000000"/>
          <w:sz w:val="32"/>
          <w:szCs w:val="32"/>
          <w:highlight w:val="none"/>
          <w:lang w:eastAsia="zh-CN"/>
        </w:rPr>
      </w:pPr>
      <w:r>
        <w:rPr>
          <w:rFonts w:hint="eastAsia" w:ascii="仿宋" w:hAnsi="仿宋" w:eastAsia="仿宋"/>
          <w:color w:val="000000"/>
          <w:sz w:val="32"/>
          <w:szCs w:val="32"/>
          <w:highlight w:val="none"/>
          <w:lang w:eastAsia="zh-CN"/>
        </w:rPr>
        <w:drawing>
          <wp:inline distT="0" distB="0" distL="114300" distR="114300">
            <wp:extent cx="5080000" cy="3810000"/>
            <wp:effectExtent l="4445" t="4445" r="20955" b="1460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000000"/>
          <w:sz w:val="32"/>
          <w:szCs w:val="32"/>
          <w:highlight w:val="none"/>
        </w:rPr>
      </w:pPr>
      <w:r>
        <w:rPr>
          <w:rFonts w:hint="eastAsia" w:ascii="仿宋" w:hAnsi="仿宋" w:eastAsia="仿宋"/>
          <w:color w:val="000000"/>
          <w:sz w:val="32"/>
          <w:szCs w:val="32"/>
          <w:highlight w:val="none"/>
        </w:rPr>
        <w:t>（图7：“三公”经费财政拨款支出结构）（饼状图）</w:t>
      </w:r>
    </w:p>
    <w:p>
      <w:pPr>
        <w:spacing w:line="600" w:lineRule="exact"/>
        <w:ind w:firstLine="640"/>
        <w:rPr>
          <w:rFonts w:ascii="仿宋_GB2312" w:eastAsia="仿宋_GB2312"/>
          <w:color w:val="000000"/>
          <w:sz w:val="32"/>
          <w:szCs w:val="32"/>
          <w:highlight w:val="none"/>
        </w:rPr>
      </w:pPr>
      <w:r>
        <w:rPr>
          <w:rFonts w:ascii="仿宋_GB2312" w:eastAsia="仿宋_GB2312"/>
          <w:b/>
          <w:color w:val="000000"/>
          <w:sz w:val="32"/>
          <w:szCs w:val="32"/>
          <w:highlight w:val="none"/>
        </w:rPr>
        <w:t>1.</w:t>
      </w:r>
      <w:r>
        <w:rPr>
          <w:rFonts w:hint="eastAsia" w:ascii="仿宋_GB2312" w:eastAsia="仿宋_GB2312"/>
          <w:b/>
          <w:color w:val="000000"/>
          <w:sz w:val="32"/>
          <w:szCs w:val="32"/>
          <w:highlight w:val="none"/>
        </w:rPr>
        <w:t>因公出国（境）经费支出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Style w:val="14"/>
          <w:rFonts w:hint="eastAsia" w:ascii="仿宋" w:hAnsi="仿宋" w:eastAsia="仿宋"/>
          <w:b w:val="0"/>
          <w:bCs/>
          <w:color w:val="000000"/>
          <w:sz w:val="32"/>
          <w:szCs w:val="32"/>
          <w:highlight w:val="none"/>
        </w:rPr>
        <w:t>。</w:t>
      </w:r>
      <w:r>
        <w:rPr>
          <w:rFonts w:hint="eastAsia" w:ascii="仿宋_GB2312" w:eastAsia="仿宋_GB2312"/>
          <w:color w:val="000000"/>
          <w:sz w:val="32"/>
          <w:szCs w:val="32"/>
          <w:highlight w:val="none"/>
        </w:rPr>
        <w:t>全年安排因公出国（境）团组</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次，出国（境）</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人。</w:t>
      </w:r>
    </w:p>
    <w:p>
      <w:pPr>
        <w:numPr>
          <w:ilvl w:val="0"/>
          <w:numId w:val="0"/>
        </w:numPr>
        <w:spacing w:line="520" w:lineRule="exact"/>
        <w:ind w:firstLine="643" w:firstLineChars="200"/>
        <w:rPr>
          <w:rFonts w:hint="default" w:ascii="仿宋_GB2312" w:eastAsia="仿宋_GB2312"/>
          <w:sz w:val="32"/>
          <w:szCs w:val="32"/>
          <w:highlight w:val="none"/>
          <w:lang w:val="en-US" w:eastAsia="zh-CN"/>
        </w:rPr>
      </w:pPr>
      <w:r>
        <w:rPr>
          <w:rFonts w:ascii="仿宋_GB2312" w:eastAsia="仿宋_GB2312"/>
          <w:b/>
          <w:color w:val="000000"/>
          <w:sz w:val="32"/>
          <w:szCs w:val="32"/>
          <w:highlight w:val="none"/>
        </w:rPr>
        <w:t>2.</w:t>
      </w:r>
      <w:r>
        <w:rPr>
          <w:rFonts w:hint="eastAsia" w:ascii="仿宋_GB2312" w:eastAsia="仿宋_GB2312"/>
          <w:b/>
          <w:color w:val="000000"/>
          <w:sz w:val="32"/>
          <w:szCs w:val="32"/>
          <w:highlight w:val="none"/>
        </w:rPr>
        <w:t>公务用车购置及运行维护费支出</w:t>
      </w:r>
      <w:r>
        <w:rPr>
          <w:rFonts w:hint="eastAsia" w:ascii="仿宋_GB2312" w:eastAsia="仿宋_GB2312"/>
          <w:color w:val="000000"/>
          <w:sz w:val="32"/>
          <w:szCs w:val="32"/>
          <w:highlight w:val="none"/>
          <w:lang w:val="en-US" w:eastAsia="zh-CN"/>
        </w:rPr>
        <w:t>66.09</w:t>
      </w:r>
      <w:r>
        <w:rPr>
          <w:rFonts w:hint="eastAsia" w:ascii="仿宋_GB2312" w:eastAsia="仿宋_GB2312"/>
          <w:color w:val="000000"/>
          <w:sz w:val="32"/>
          <w:szCs w:val="32"/>
          <w:highlight w:val="none"/>
        </w:rPr>
        <w:t>万元,</w:t>
      </w:r>
      <w:r>
        <w:rPr>
          <w:rStyle w:val="14"/>
          <w:rFonts w:hint="eastAsia" w:ascii="仿宋" w:hAnsi="仿宋" w:eastAsia="仿宋"/>
          <w:b w:val="0"/>
          <w:bCs/>
          <w:color w:val="000000"/>
          <w:sz w:val="32"/>
          <w:szCs w:val="32"/>
          <w:highlight w:val="none"/>
        </w:rPr>
        <w:t>完成预算</w:t>
      </w:r>
      <w:r>
        <w:rPr>
          <w:rFonts w:hint="eastAsia" w:ascii="仿宋" w:hAnsi="仿宋" w:eastAsia="仿宋"/>
          <w:color w:val="000000"/>
          <w:sz w:val="32"/>
          <w:szCs w:val="32"/>
          <w:highlight w:val="none"/>
          <w:lang w:val="en-US" w:eastAsia="zh-CN"/>
        </w:rPr>
        <w:t>769.61%</w:t>
      </w:r>
      <w:r>
        <w:rPr>
          <w:rStyle w:val="14"/>
          <w:rFonts w:hint="eastAsia" w:ascii="仿宋" w:hAnsi="仿宋" w:eastAsia="仿宋"/>
          <w:b w:val="0"/>
          <w:bCs/>
          <w:color w:val="000000"/>
          <w:sz w:val="32"/>
          <w:szCs w:val="32"/>
          <w:highlight w:val="none"/>
        </w:rPr>
        <w:t>。</w:t>
      </w:r>
      <w:r>
        <w:rPr>
          <w:rFonts w:hint="eastAsia" w:ascii="仿宋_GB2312" w:eastAsia="仿宋_GB2312"/>
          <w:color w:val="000000"/>
          <w:sz w:val="32"/>
          <w:szCs w:val="32"/>
          <w:highlight w:val="none"/>
        </w:rPr>
        <w:t>公务用车购置及运行维护费支出决算比</w:t>
      </w: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8年增加</w:t>
      </w:r>
      <w:r>
        <w:rPr>
          <w:rFonts w:hint="eastAsia" w:ascii="仿宋_GB2312" w:eastAsia="仿宋_GB2312"/>
          <w:color w:val="000000"/>
          <w:sz w:val="32"/>
          <w:szCs w:val="32"/>
          <w:highlight w:val="none"/>
          <w:lang w:val="en-US" w:eastAsia="zh-CN"/>
        </w:rPr>
        <w:t>61.46</w:t>
      </w:r>
      <w:r>
        <w:rPr>
          <w:rFonts w:hint="eastAsia" w:ascii="仿宋_GB2312" w:eastAsia="仿宋_GB2312"/>
          <w:color w:val="000000"/>
          <w:sz w:val="32"/>
          <w:szCs w:val="32"/>
          <w:highlight w:val="none"/>
        </w:rPr>
        <w:t>万元，增长</w:t>
      </w:r>
      <w:r>
        <w:rPr>
          <w:rFonts w:hint="eastAsia" w:ascii="仿宋_GB2312" w:eastAsia="仿宋_GB2312"/>
          <w:color w:val="000000"/>
          <w:sz w:val="32"/>
          <w:szCs w:val="32"/>
          <w:highlight w:val="none"/>
          <w:lang w:val="en-US" w:eastAsia="zh-CN"/>
        </w:rPr>
        <w:t>1227.43</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。主要原因是</w:t>
      </w:r>
      <w:r>
        <w:rPr>
          <w:rFonts w:hint="eastAsia" w:ascii="仿宋_GB2312" w:eastAsia="仿宋_GB2312"/>
          <w:sz w:val="32"/>
          <w:szCs w:val="32"/>
          <w:highlight w:val="none"/>
          <w:lang w:val="en-US" w:eastAsia="zh-CN"/>
        </w:rPr>
        <w:t>经阿坝州公务用车制度改革和管理领导小组办公室研究同意我局更新1辆排气量3.5升以下，价格60万元以内的国产越野型公务用车</w:t>
      </w:r>
      <w:r>
        <w:rPr>
          <w:rFonts w:hint="eastAsia" w:ascii="仿宋_GB2312" w:eastAsia="仿宋_GB2312"/>
          <w:sz w:val="32"/>
          <w:szCs w:val="32"/>
          <w:highlight w:val="none"/>
          <w:lang w:eastAsia="zh-CN"/>
        </w:rPr>
        <w:t>。</w:t>
      </w:r>
    </w:p>
    <w:p>
      <w:pPr>
        <w:spacing w:line="600" w:lineRule="exact"/>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其中：</w:t>
      </w:r>
      <w:r>
        <w:rPr>
          <w:rFonts w:hint="eastAsia" w:ascii="仿宋_GB2312" w:eastAsia="仿宋_GB2312"/>
          <w:b/>
          <w:color w:val="000000"/>
          <w:sz w:val="32"/>
          <w:szCs w:val="32"/>
          <w:highlight w:val="none"/>
        </w:rPr>
        <w:t>公务用车购置支出</w:t>
      </w:r>
      <w:r>
        <w:rPr>
          <w:rFonts w:hint="eastAsia" w:ascii="仿宋_GB2312" w:eastAsia="仿宋_GB2312"/>
          <w:color w:val="000000"/>
          <w:sz w:val="32"/>
          <w:szCs w:val="32"/>
          <w:highlight w:val="none"/>
          <w:lang w:val="en-US" w:eastAsia="zh-CN"/>
        </w:rPr>
        <w:t>59.48</w:t>
      </w:r>
      <w:r>
        <w:rPr>
          <w:rFonts w:hint="eastAsia" w:ascii="仿宋_GB2312" w:eastAsia="仿宋_GB2312"/>
          <w:color w:val="000000"/>
          <w:sz w:val="32"/>
          <w:szCs w:val="32"/>
          <w:highlight w:val="none"/>
        </w:rPr>
        <w:t>万元。全年按规定更新购置公务用车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辆，金额</w:t>
      </w:r>
      <w:r>
        <w:rPr>
          <w:rFonts w:hint="eastAsia" w:ascii="仿宋_GB2312" w:eastAsia="仿宋_GB2312"/>
          <w:color w:val="000000"/>
          <w:sz w:val="32"/>
          <w:szCs w:val="32"/>
          <w:highlight w:val="none"/>
          <w:lang w:val="en-US" w:eastAsia="zh-CN"/>
        </w:rPr>
        <w:t>59.48</w:t>
      </w:r>
      <w:r>
        <w:rPr>
          <w:rFonts w:ascii="仿宋_GB2312" w:eastAsia="仿宋_GB2312"/>
          <w:color w:val="000000"/>
          <w:sz w:val="32"/>
          <w:szCs w:val="32"/>
          <w:highlight w:val="none"/>
        </w:rPr>
        <w:t>元。</w:t>
      </w: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9年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月底，单位共有公务用车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辆，其中：主要领导干部用车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辆、机要通信用车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辆、应急保障用车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 执法执勤用车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特种专业技术用车0辆、离退休干部用车0辆、其他用车0辆</w:t>
      </w:r>
      <w:r>
        <w:rPr>
          <w:rFonts w:hint="eastAsia" w:ascii="仿宋_GB2312" w:eastAsia="仿宋_GB2312"/>
          <w:color w:val="000000"/>
          <w:sz w:val="32"/>
          <w:szCs w:val="32"/>
          <w:highlight w:val="none"/>
          <w:lang w:eastAsia="zh-CN"/>
        </w:rPr>
        <w:t>。</w:t>
      </w:r>
    </w:p>
    <w:p>
      <w:pPr>
        <w:spacing w:line="600" w:lineRule="exact"/>
        <w:ind w:firstLine="640"/>
        <w:rPr>
          <w:rFonts w:ascii="仿宋_GB2312" w:eastAsia="仿宋_GB2312"/>
          <w:color w:val="000000"/>
          <w:sz w:val="32"/>
          <w:szCs w:val="32"/>
          <w:highlight w:val="none"/>
        </w:rPr>
      </w:pPr>
      <w:r>
        <w:rPr>
          <w:rFonts w:hint="eastAsia" w:ascii="仿宋_GB2312" w:eastAsia="仿宋_GB2312"/>
          <w:b/>
          <w:color w:val="000000"/>
          <w:sz w:val="32"/>
          <w:szCs w:val="32"/>
          <w:highlight w:val="none"/>
        </w:rPr>
        <w:t>公务用车运行维护费支出</w:t>
      </w:r>
      <w:r>
        <w:rPr>
          <w:rFonts w:hint="eastAsia" w:ascii="仿宋_GB2312" w:eastAsia="仿宋_GB2312"/>
          <w:color w:val="000000"/>
          <w:sz w:val="32"/>
          <w:szCs w:val="32"/>
          <w:highlight w:val="none"/>
          <w:lang w:val="en-US" w:eastAsia="zh-CN"/>
        </w:rPr>
        <w:t>6.61</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val="en-US" w:eastAsia="zh-CN"/>
        </w:rPr>
        <w:t>医疗监管、审计稽核、政策调研、政策宣传</w:t>
      </w:r>
      <w:r>
        <w:rPr>
          <w:rFonts w:hint="eastAsia" w:ascii="仿宋_GB2312" w:eastAsia="仿宋_GB2312"/>
          <w:color w:val="000000"/>
          <w:sz w:val="32"/>
          <w:szCs w:val="32"/>
          <w:highlight w:val="none"/>
        </w:rPr>
        <w:t>等</w:t>
      </w:r>
      <w:r>
        <w:rPr>
          <w:rFonts w:hint="eastAsia" w:ascii="仿宋_GB2312" w:eastAsia="仿宋_GB2312"/>
          <w:color w:val="000000"/>
          <w:sz w:val="32"/>
          <w:szCs w:val="32"/>
          <w:highlight w:val="none"/>
          <w:lang w:val="en-US" w:eastAsia="zh-CN"/>
        </w:rPr>
        <w:t>工作</w:t>
      </w:r>
      <w:r>
        <w:rPr>
          <w:rFonts w:hint="eastAsia" w:ascii="仿宋_GB2312" w:eastAsia="仿宋_GB2312"/>
          <w:color w:val="000000"/>
          <w:sz w:val="32"/>
          <w:szCs w:val="32"/>
          <w:highlight w:val="none"/>
        </w:rPr>
        <w:t>所需的公务用车燃料费、维修费、过路过桥费、保险费等支出。</w:t>
      </w:r>
    </w:p>
    <w:p>
      <w:pPr>
        <w:numPr>
          <w:ilvl w:val="0"/>
          <w:numId w:val="0"/>
        </w:numPr>
        <w:spacing w:line="520" w:lineRule="exact"/>
        <w:ind w:firstLine="643" w:firstLineChars="200"/>
        <w:rPr>
          <w:rFonts w:ascii="仿宋_GB2312" w:eastAsia="仿宋_GB2312"/>
          <w:color w:val="000000"/>
          <w:sz w:val="32"/>
          <w:szCs w:val="32"/>
          <w:highlight w:val="none"/>
        </w:rPr>
      </w:pPr>
      <w:r>
        <w:rPr>
          <w:rFonts w:ascii="仿宋_GB2312" w:eastAsia="仿宋_GB2312"/>
          <w:b/>
          <w:color w:val="000000"/>
          <w:sz w:val="32"/>
          <w:szCs w:val="32"/>
          <w:highlight w:val="none"/>
        </w:rPr>
        <w:t>3.</w:t>
      </w:r>
      <w:r>
        <w:rPr>
          <w:rFonts w:hint="eastAsia" w:ascii="仿宋_GB2312" w:eastAsia="仿宋_GB2312"/>
          <w:b/>
          <w:color w:val="000000"/>
          <w:sz w:val="32"/>
          <w:szCs w:val="32"/>
          <w:highlight w:val="none"/>
        </w:rPr>
        <w:t>公务接待费支出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Style w:val="14"/>
          <w:rFonts w:hint="eastAsia" w:ascii="仿宋" w:hAnsi="仿宋" w:eastAsia="仿宋"/>
          <w:b w:val="0"/>
          <w:bCs/>
          <w:color w:val="000000"/>
          <w:sz w:val="32"/>
          <w:szCs w:val="32"/>
          <w:highlight w:val="none"/>
        </w:rPr>
        <w:t>完成预算</w:t>
      </w:r>
      <w:r>
        <w:rPr>
          <w:rStyle w:val="14"/>
          <w:rFonts w:hint="eastAsia" w:ascii="仿宋" w:hAnsi="仿宋" w:eastAsia="仿宋"/>
          <w:b w:val="0"/>
          <w:bCs/>
          <w:color w:val="000000"/>
          <w:sz w:val="32"/>
          <w:szCs w:val="32"/>
          <w:highlight w:val="none"/>
          <w:lang w:val="en-US" w:eastAsia="zh-CN"/>
        </w:rPr>
        <w:t>0</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rPr>
        <w:t>。</w:t>
      </w:r>
      <w:r>
        <w:rPr>
          <w:rFonts w:hint="eastAsia" w:ascii="仿宋_GB2312" w:eastAsia="仿宋_GB2312"/>
          <w:color w:val="000000"/>
          <w:sz w:val="32"/>
          <w:szCs w:val="32"/>
          <w:highlight w:val="none"/>
        </w:rPr>
        <w:t>公务接待费支出决算比</w:t>
      </w: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8年</w:t>
      </w:r>
      <w:r>
        <w:rPr>
          <w:rFonts w:hint="eastAsia" w:ascii="仿宋_GB2312" w:eastAsia="仿宋_GB2312"/>
          <w:color w:val="000000"/>
          <w:sz w:val="32"/>
          <w:szCs w:val="32"/>
          <w:highlight w:val="none"/>
          <w:lang w:val="en-US" w:eastAsia="zh-CN"/>
        </w:rPr>
        <w:t>减少0.5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减少100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。主要原因是</w:t>
      </w:r>
      <w:r>
        <w:rPr>
          <w:rFonts w:hint="eastAsia" w:ascii="仿宋_GB2312" w:eastAsia="仿宋_GB2312"/>
          <w:sz w:val="32"/>
          <w:szCs w:val="32"/>
          <w:highlight w:val="none"/>
        </w:rPr>
        <w:t>我局201</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年部门</w:t>
      </w:r>
      <w:r>
        <w:rPr>
          <w:rFonts w:hint="eastAsia" w:ascii="仿宋_GB2312" w:eastAsia="仿宋_GB2312"/>
          <w:sz w:val="32"/>
          <w:szCs w:val="32"/>
          <w:highlight w:val="none"/>
          <w:lang w:val="en-US" w:eastAsia="zh-CN"/>
        </w:rPr>
        <w:t>预算中，公务接待费预算数为1.2万元，因2019年3月5日阿坝州医疗保障局挂牌成立，属于一级预算行政单位，阿坝州医疗保障事务中心属阿坝州医疗保障局下设参公事业单位，因此2019年公务接待费由阿坝州医疗保障局支出，医疗保障事务中心未发生接待费用。</w:t>
      </w:r>
    </w:p>
    <w:p>
      <w:pPr>
        <w:spacing w:line="600" w:lineRule="exact"/>
        <w:ind w:firstLine="640"/>
        <w:outlineLvl w:val="1"/>
        <w:rPr>
          <w:rStyle w:val="17"/>
          <w:rFonts w:ascii="黑体" w:hAnsi="黑体" w:eastAsia="黑体"/>
          <w:highlight w:val="none"/>
        </w:rPr>
      </w:pPr>
      <w:bookmarkStart w:id="46" w:name="_Toc15396610"/>
      <w:bookmarkStart w:id="47" w:name="_Toc15377218"/>
      <w:r>
        <w:rPr>
          <w:rFonts w:hint="eastAsia" w:ascii="黑体" w:eastAsia="黑体"/>
          <w:color w:val="000000"/>
          <w:sz w:val="32"/>
          <w:szCs w:val="32"/>
          <w:highlight w:val="none"/>
        </w:rPr>
        <w:t>八、</w:t>
      </w:r>
      <w:r>
        <w:rPr>
          <w:rStyle w:val="17"/>
          <w:rFonts w:hint="eastAsia" w:ascii="黑体" w:hAnsi="黑体" w:eastAsia="黑体"/>
          <w:b w:val="0"/>
          <w:highlight w:val="none"/>
        </w:rPr>
        <w:t>政府性基金预算支出决算情况说明</w:t>
      </w:r>
      <w:bookmarkEnd w:id="46"/>
      <w:bookmarkEnd w:id="47"/>
    </w:p>
    <w:p>
      <w:pPr>
        <w:spacing w:line="600" w:lineRule="exact"/>
        <w:ind w:firstLine="640"/>
        <w:rPr>
          <w:rFonts w:ascii="仿宋_GB2312" w:eastAsia="仿宋_GB2312"/>
          <w:color w:val="000000"/>
          <w:sz w:val="32"/>
          <w:szCs w:val="32"/>
          <w:highlight w:val="none"/>
        </w:rPr>
      </w:pP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9年政府性基金预算拨款支出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p>
    <w:p>
      <w:pPr>
        <w:numPr>
          <w:ilvl w:val="0"/>
          <w:numId w:val="2"/>
        </w:numPr>
        <w:spacing w:line="600" w:lineRule="exact"/>
        <w:ind w:firstLine="640"/>
        <w:outlineLvl w:val="1"/>
        <w:rPr>
          <w:rStyle w:val="17"/>
          <w:rFonts w:ascii="黑体" w:hAnsi="黑体" w:eastAsia="黑体"/>
          <w:b w:val="0"/>
          <w:highlight w:val="none"/>
        </w:rPr>
      </w:pPr>
      <w:bookmarkStart w:id="48" w:name="_Toc15377219"/>
      <w:bookmarkStart w:id="49" w:name="_Toc15396611"/>
      <w:r>
        <w:rPr>
          <w:rStyle w:val="17"/>
          <w:rFonts w:hint="eastAsia" w:ascii="黑体" w:hAnsi="黑体" w:eastAsia="黑体"/>
          <w:b w:val="0"/>
          <w:highlight w:val="none"/>
        </w:rPr>
        <w:t>国有资本经营预算支出决算情况说明</w:t>
      </w:r>
      <w:bookmarkEnd w:id="48"/>
      <w:bookmarkEnd w:id="49"/>
    </w:p>
    <w:p>
      <w:pPr>
        <w:spacing w:line="600" w:lineRule="exact"/>
        <w:ind w:firstLine="640"/>
        <w:rPr>
          <w:rFonts w:ascii="方正小标宋简体" w:hAnsi="方正小标宋简体" w:eastAsia="方正小标宋简体" w:cs="方正小标宋简体"/>
          <w:sz w:val="44"/>
          <w:szCs w:val="44"/>
          <w:highlight w:val="none"/>
        </w:rPr>
      </w:pP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9年国有资本经营预算拨款支出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p>
    <w:p>
      <w:pPr>
        <w:spacing w:line="600" w:lineRule="exact"/>
        <w:ind w:firstLine="800" w:firstLineChars="250"/>
        <w:outlineLvl w:val="1"/>
        <w:rPr>
          <w:rStyle w:val="17"/>
          <w:rFonts w:ascii="黑体" w:hAnsi="黑体" w:eastAsia="黑体"/>
          <w:highlight w:val="none"/>
        </w:rPr>
      </w:pPr>
      <w:bookmarkStart w:id="50" w:name="_Toc15377221"/>
      <w:bookmarkStart w:id="51" w:name="_Toc15396612"/>
      <w:r>
        <w:rPr>
          <w:rFonts w:hint="eastAsia" w:ascii="黑体" w:hAnsi="黑体" w:eastAsia="黑体"/>
          <w:color w:val="000000"/>
          <w:sz w:val="32"/>
          <w:szCs w:val="32"/>
          <w:highlight w:val="none"/>
        </w:rPr>
        <w:t>十</w:t>
      </w:r>
      <w:r>
        <w:rPr>
          <w:rStyle w:val="17"/>
          <w:rFonts w:hint="eastAsia" w:ascii="黑体" w:hAnsi="黑体" w:eastAsia="黑体"/>
          <w:highlight w:val="none"/>
        </w:rPr>
        <w:t>、</w:t>
      </w:r>
      <w:r>
        <w:rPr>
          <w:rStyle w:val="17"/>
          <w:rFonts w:hint="eastAsia" w:ascii="黑体" w:hAnsi="黑体" w:eastAsia="黑体"/>
          <w:b w:val="0"/>
          <w:highlight w:val="none"/>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highlight w:val="none"/>
        </w:rPr>
      </w:pPr>
      <w:bookmarkStart w:id="52" w:name="_Toc15377222"/>
      <w:r>
        <w:rPr>
          <w:rFonts w:hint="eastAsia" w:ascii="仿宋" w:hAnsi="仿宋" w:eastAsia="仿宋"/>
          <w:b/>
          <w:color w:val="000000"/>
          <w:sz w:val="32"/>
          <w:szCs w:val="32"/>
          <w:highlight w:val="none"/>
        </w:rPr>
        <w:t>（一）机关运行经费支出情况</w:t>
      </w:r>
      <w:bookmarkEnd w:id="52"/>
    </w:p>
    <w:p>
      <w:pPr>
        <w:spacing w:line="600" w:lineRule="exact"/>
        <w:ind w:firstLine="640"/>
        <w:rPr>
          <w:rFonts w:ascii="仿宋_GB2312" w:eastAsia="仿宋_GB2312"/>
          <w:color w:val="000000" w:themeColor="text1"/>
          <w:sz w:val="32"/>
          <w:szCs w:val="32"/>
          <w:highlight w:val="green"/>
          <w14:textFill>
            <w14:solidFill>
              <w14:schemeClr w14:val="tx1"/>
            </w14:solidFill>
          </w14:textFill>
        </w:rPr>
      </w:pP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9年，</w:t>
      </w:r>
      <w:r>
        <w:rPr>
          <w:rFonts w:hint="eastAsia" w:ascii="仿宋_GB2312" w:eastAsia="仿宋_GB2312"/>
          <w:color w:val="000000"/>
          <w:sz w:val="32"/>
          <w:szCs w:val="32"/>
          <w:highlight w:val="none"/>
          <w:lang w:val="en-US" w:eastAsia="zh-CN"/>
        </w:rPr>
        <w:t>阿坝州医疗保障局</w:t>
      </w:r>
      <w:r>
        <w:rPr>
          <w:rFonts w:hint="eastAsia" w:ascii="仿宋_GB2312" w:eastAsia="仿宋_GB2312"/>
          <w:color w:val="000000"/>
          <w:sz w:val="32"/>
          <w:szCs w:val="32"/>
          <w:highlight w:val="none"/>
        </w:rPr>
        <w:t>机关运行经费支出</w:t>
      </w:r>
      <w:r>
        <w:rPr>
          <w:rFonts w:hint="eastAsia" w:ascii="仿宋_GB2312" w:eastAsia="仿宋_GB2312"/>
          <w:color w:val="000000"/>
          <w:sz w:val="32"/>
          <w:szCs w:val="32"/>
          <w:highlight w:val="none"/>
          <w:lang w:val="en-US" w:eastAsia="zh-CN"/>
        </w:rPr>
        <w:t>84.05</w:t>
      </w:r>
      <w:r>
        <w:rPr>
          <w:rFonts w:hint="eastAsia" w:ascii="仿宋_GB2312" w:eastAsia="仿宋_GB2312"/>
          <w:color w:val="000000"/>
          <w:sz w:val="32"/>
          <w:szCs w:val="32"/>
          <w:highlight w:val="none"/>
        </w:rPr>
        <w:t>万元，比</w:t>
      </w: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8年</w:t>
      </w:r>
      <w:r>
        <w:rPr>
          <w:rFonts w:hint="eastAsia" w:ascii="仿宋_GB2312" w:eastAsia="仿宋_GB2312"/>
          <w:color w:val="000000"/>
          <w:sz w:val="32"/>
          <w:szCs w:val="32"/>
          <w:highlight w:val="none"/>
          <w:lang w:val="en-US" w:eastAsia="zh-CN"/>
        </w:rPr>
        <w:t>减少17.81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减幅17.49</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r>
        <w:rPr>
          <w:rFonts w:hint="eastAsia" w:ascii="仿宋_GB2312" w:eastAsia="仿宋_GB2312"/>
          <w:color w:val="000000" w:themeColor="text1"/>
          <w:sz w:val="32"/>
          <w:szCs w:val="32"/>
          <w:highlight w:val="none"/>
          <w14:textFill>
            <w14:solidFill>
              <w14:schemeClr w14:val="tx1"/>
            </w14:solidFill>
          </w14:textFill>
        </w:rPr>
        <w:t>主要原因是</w:t>
      </w:r>
      <w:r>
        <w:rPr>
          <w:rFonts w:hint="eastAsia" w:ascii="仿宋_GB2312" w:hAnsi="仿宋" w:eastAsia="仿宋_GB2312"/>
          <w:sz w:val="32"/>
          <w:szCs w:val="32"/>
          <w:highlight w:val="none"/>
        </w:rPr>
        <w:t>本年人员减少，厉行节约，经费减少。</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highlight w:val="none"/>
        </w:rPr>
      </w:pPr>
      <w:bookmarkStart w:id="53" w:name="_Toc15377223"/>
      <w:r>
        <w:rPr>
          <w:rFonts w:hint="eastAsia" w:ascii="仿宋" w:hAnsi="仿宋" w:eastAsia="仿宋"/>
          <w:b/>
          <w:color w:val="000000"/>
          <w:sz w:val="32"/>
          <w:szCs w:val="32"/>
          <w:highlight w:val="none"/>
        </w:rPr>
        <w:t>（二）政府采购支出情况</w:t>
      </w:r>
      <w:bookmarkEnd w:id="53"/>
    </w:p>
    <w:p>
      <w:pPr>
        <w:spacing w:line="60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9年，</w:t>
      </w:r>
      <w:r>
        <w:rPr>
          <w:rFonts w:hint="eastAsia" w:ascii="仿宋_GB2312" w:eastAsia="仿宋_GB2312"/>
          <w:color w:val="000000"/>
          <w:sz w:val="32"/>
          <w:szCs w:val="32"/>
          <w:highlight w:val="none"/>
          <w:lang w:val="en-US" w:eastAsia="zh-CN"/>
        </w:rPr>
        <w:t>阿坝州医疗保障局</w:t>
      </w:r>
      <w:r>
        <w:rPr>
          <w:rFonts w:hint="eastAsia" w:ascii="仿宋_GB2312" w:eastAsia="仿宋_GB2312"/>
          <w:color w:val="000000"/>
          <w:sz w:val="32"/>
          <w:szCs w:val="32"/>
          <w:highlight w:val="none"/>
        </w:rPr>
        <w:t>政府采购支出总额</w:t>
      </w:r>
      <w:r>
        <w:rPr>
          <w:rFonts w:hint="eastAsia" w:ascii="仿宋_GB2312" w:eastAsia="仿宋_GB2312"/>
          <w:color w:val="000000"/>
          <w:sz w:val="32"/>
          <w:szCs w:val="32"/>
          <w:highlight w:val="none"/>
          <w:lang w:val="en-US" w:eastAsia="zh-CN"/>
        </w:rPr>
        <w:t>68.2</w:t>
      </w:r>
      <w:r>
        <w:rPr>
          <w:rFonts w:hint="eastAsia" w:ascii="仿宋_GB2312" w:eastAsia="仿宋_GB2312"/>
          <w:color w:val="000000"/>
          <w:sz w:val="32"/>
          <w:szCs w:val="32"/>
          <w:highlight w:val="none"/>
        </w:rPr>
        <w:t>万元，其中：政府采购货物支出</w:t>
      </w:r>
      <w:r>
        <w:rPr>
          <w:rFonts w:hint="eastAsia" w:ascii="仿宋_GB2312" w:eastAsia="仿宋_GB2312"/>
          <w:color w:val="000000"/>
          <w:sz w:val="32"/>
          <w:szCs w:val="32"/>
          <w:highlight w:val="none"/>
          <w:lang w:val="en-US" w:eastAsia="zh-CN"/>
        </w:rPr>
        <w:t>68.2</w:t>
      </w:r>
      <w:r>
        <w:rPr>
          <w:rFonts w:hint="eastAsia" w:ascii="仿宋_GB2312" w:eastAsia="仿宋_GB2312"/>
          <w:color w:val="000000"/>
          <w:sz w:val="32"/>
          <w:szCs w:val="32"/>
          <w:highlight w:val="none"/>
        </w:rPr>
        <w:t>万元、政府采购工程支出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万元、政府采购服务支出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val="en-US" w:eastAsia="zh-CN"/>
        </w:rPr>
        <w:t>购买办公设备、购置公车</w:t>
      </w:r>
      <w:r>
        <w:rPr>
          <w:rFonts w:hint="eastAsia" w:ascii="仿宋_GB2312" w:eastAsia="仿宋_GB2312"/>
          <w:color w:val="000000"/>
          <w:sz w:val="32"/>
          <w:szCs w:val="32"/>
          <w:highlight w:val="none"/>
        </w:rPr>
        <w:t>。授予中小企业合同金额</w:t>
      </w:r>
      <w:r>
        <w:rPr>
          <w:rFonts w:hint="eastAsia" w:ascii="仿宋_GB2312" w:eastAsia="仿宋_GB2312"/>
          <w:color w:val="000000"/>
          <w:sz w:val="32"/>
          <w:szCs w:val="32"/>
          <w:highlight w:val="none"/>
          <w:lang w:val="en-US" w:eastAsia="zh-CN"/>
        </w:rPr>
        <w:t>68.2</w:t>
      </w:r>
      <w:r>
        <w:rPr>
          <w:rFonts w:hint="eastAsia" w:ascii="仿宋_GB2312" w:eastAsia="仿宋_GB2312"/>
          <w:color w:val="000000"/>
          <w:sz w:val="32"/>
          <w:szCs w:val="32"/>
          <w:highlight w:val="none"/>
        </w:rPr>
        <w:t>万元，占政府采购支出总额的</w:t>
      </w:r>
      <w:r>
        <w:rPr>
          <w:rFonts w:hint="eastAsia" w:ascii="仿宋_GB2312" w:eastAsia="仿宋_GB2312"/>
          <w:color w:val="000000"/>
          <w:sz w:val="32"/>
          <w:szCs w:val="32"/>
          <w:highlight w:val="none"/>
          <w:lang w:val="en-US" w:eastAsia="zh-CN"/>
        </w:rPr>
        <w:t>100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，其中：授予小微企业合同金额</w:t>
      </w:r>
      <w:r>
        <w:rPr>
          <w:rFonts w:hint="eastAsia" w:ascii="仿宋_GB2312" w:eastAsia="仿宋_GB2312"/>
          <w:color w:val="000000"/>
          <w:sz w:val="32"/>
          <w:szCs w:val="32"/>
          <w:highlight w:val="none"/>
          <w:lang w:val="en-US" w:eastAsia="zh-CN"/>
        </w:rPr>
        <w:t>68.2</w:t>
      </w:r>
      <w:r>
        <w:rPr>
          <w:rFonts w:hint="eastAsia" w:ascii="仿宋_GB2312" w:eastAsia="仿宋_GB2312"/>
          <w:color w:val="000000"/>
          <w:sz w:val="32"/>
          <w:szCs w:val="32"/>
          <w:highlight w:val="none"/>
        </w:rPr>
        <w:t>万元，占政府采购支出总额的</w:t>
      </w:r>
      <w:r>
        <w:rPr>
          <w:rFonts w:hint="eastAsia" w:ascii="仿宋_GB2312" w:eastAsia="仿宋_GB2312"/>
          <w:color w:val="000000"/>
          <w:sz w:val="32"/>
          <w:szCs w:val="32"/>
          <w:highlight w:val="none"/>
          <w:lang w:val="en-US" w:eastAsia="zh-CN"/>
        </w:rPr>
        <w:t>100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highlight w:val="none"/>
        </w:rPr>
      </w:pPr>
      <w:bookmarkStart w:id="54" w:name="_Toc15377224"/>
      <w:r>
        <w:rPr>
          <w:rFonts w:hint="eastAsia" w:ascii="仿宋" w:hAnsi="仿宋" w:eastAsia="仿宋"/>
          <w:b/>
          <w:color w:val="000000"/>
          <w:sz w:val="32"/>
          <w:szCs w:val="32"/>
          <w:highlight w:val="none"/>
        </w:rPr>
        <w:t>（三）国有资产占有使用情况</w:t>
      </w:r>
      <w:bookmarkEnd w:id="54"/>
    </w:p>
    <w:p>
      <w:pPr>
        <w:spacing w:line="600" w:lineRule="exact"/>
        <w:ind w:firstLine="640" w:firstLineChars="200"/>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201</w:t>
      </w:r>
      <w:r>
        <w:rPr>
          <w:rFonts w:hint="eastAsia" w:ascii="仿宋_GB2312" w:eastAsia="仿宋_GB2312"/>
          <w:color w:val="000000"/>
          <w:sz w:val="32"/>
          <w:szCs w:val="32"/>
          <w:highlight w:val="none"/>
        </w:rPr>
        <w:t>9年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w:t>
      </w:r>
      <w:r>
        <w:rPr>
          <w:rFonts w:ascii="仿宋_GB2312" w:eastAsia="仿宋_GB2312"/>
          <w:color w:val="000000"/>
          <w:sz w:val="32"/>
          <w:szCs w:val="32"/>
          <w:highlight w:val="none"/>
        </w:rPr>
        <w:t>31</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val="en-US" w:eastAsia="zh-CN"/>
        </w:rPr>
        <w:t>阿坝州医疗保障局</w:t>
      </w:r>
      <w:r>
        <w:rPr>
          <w:rFonts w:hint="eastAsia" w:ascii="仿宋_GB2312" w:eastAsia="仿宋_GB2312"/>
          <w:color w:val="000000"/>
          <w:sz w:val="32"/>
          <w:szCs w:val="32"/>
          <w:highlight w:val="none"/>
        </w:rPr>
        <w:t>共有车辆</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辆，其中：主要领导干部用车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辆、机要通信用车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辆、应急保障用车</w:t>
      </w: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辆、 执法执勤用车</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特种专业技术用车0辆、离退休干部用车0辆、其他用车0辆</w:t>
      </w:r>
      <w:r>
        <w:rPr>
          <w:rFonts w:hint="eastAsia" w:ascii="仿宋_GB2312" w:eastAsia="仿宋_GB2312"/>
          <w:color w:val="000000"/>
          <w:sz w:val="32"/>
          <w:szCs w:val="32"/>
          <w:highlight w:val="none"/>
          <w:lang w:eastAsia="zh-CN"/>
        </w:rPr>
        <w:t>。</w:t>
      </w:r>
      <w:r>
        <w:rPr>
          <w:rFonts w:hint="eastAsia" w:ascii="仿宋_GB2312" w:eastAsia="仿宋_GB2312"/>
          <w:color w:val="000000" w:themeColor="text1"/>
          <w:sz w:val="32"/>
          <w:szCs w:val="32"/>
          <w:highlight w:val="none"/>
          <w14:textFill>
            <w14:solidFill>
              <w14:schemeClr w14:val="tx1"/>
            </w14:solidFill>
          </w14:textFill>
        </w:rPr>
        <w:t>主要是用于</w:t>
      </w:r>
      <w:r>
        <w:rPr>
          <w:rFonts w:hint="eastAsia" w:ascii="仿宋_GB2312" w:eastAsia="仿宋_GB2312"/>
          <w:color w:val="000000" w:themeColor="text1"/>
          <w:sz w:val="32"/>
          <w:szCs w:val="32"/>
          <w:highlight w:val="none"/>
          <w:lang w:val="en-US" w:eastAsia="zh-CN"/>
          <w14:textFill>
            <w14:solidFill>
              <w14:schemeClr w14:val="tx1"/>
            </w14:solidFill>
          </w14:textFill>
        </w:rPr>
        <w:t>开展</w:t>
      </w:r>
    </w:p>
    <w:p>
      <w:pPr>
        <w:spacing w:line="600" w:lineRule="exact"/>
        <w:rPr>
          <w:rFonts w:ascii="仿宋" w:hAnsi="仿宋" w:eastAsia="仿宋"/>
          <w:b/>
          <w:color w:val="FF0000"/>
          <w:sz w:val="32"/>
          <w:szCs w:val="32"/>
          <w:highlight w:val="none"/>
        </w:rPr>
      </w:pPr>
      <w:r>
        <w:rPr>
          <w:rFonts w:hint="eastAsia" w:ascii="仿宋_GB2312" w:eastAsia="仿宋_GB2312"/>
          <w:color w:val="000000"/>
          <w:sz w:val="32"/>
          <w:szCs w:val="32"/>
          <w:highlight w:val="none"/>
          <w:lang w:val="en-US" w:eastAsia="zh-CN"/>
        </w:rPr>
        <w:t>医疗监管、审计稽核、政策调研、政策宣传</w:t>
      </w:r>
      <w:r>
        <w:rPr>
          <w:rFonts w:hint="eastAsia" w:ascii="仿宋_GB2312" w:eastAsia="仿宋_GB2312"/>
          <w:color w:val="000000"/>
          <w:sz w:val="32"/>
          <w:szCs w:val="32"/>
          <w:highlight w:val="none"/>
        </w:rPr>
        <w:t>等</w:t>
      </w:r>
      <w:r>
        <w:rPr>
          <w:rFonts w:hint="eastAsia" w:ascii="仿宋_GB2312" w:eastAsia="仿宋_GB2312"/>
          <w:color w:val="000000"/>
          <w:sz w:val="32"/>
          <w:szCs w:val="32"/>
          <w:highlight w:val="none"/>
          <w:lang w:val="en-US" w:eastAsia="zh-CN"/>
        </w:rPr>
        <w:t>工作</w:t>
      </w:r>
      <w:r>
        <w:rPr>
          <w:rFonts w:hint="eastAsia" w:ascii="仿宋_GB2312" w:eastAsia="仿宋_GB2312"/>
          <w:color w:val="000000"/>
          <w:sz w:val="32"/>
          <w:szCs w:val="32"/>
          <w:highlight w:val="none"/>
        </w:rPr>
        <w:t>所需的公务用车燃料费、维修费、过路过桥费、保险费等支出</w:t>
      </w:r>
      <w:r>
        <w:rPr>
          <w:rFonts w:hint="eastAsia" w:ascii="仿宋_GB2312" w:eastAsia="仿宋_GB2312"/>
          <w:color w:val="000000"/>
          <w:sz w:val="32"/>
          <w:szCs w:val="32"/>
          <w:highlight w:val="none"/>
          <w:lang w:eastAsia="zh-CN"/>
        </w:rPr>
        <w:t>。</w:t>
      </w:r>
      <w:r>
        <w:rPr>
          <w:rFonts w:hint="eastAsia" w:ascii="仿宋_GB2312" w:eastAsia="仿宋_GB2312"/>
          <w:color w:val="000000" w:themeColor="text1"/>
          <w:sz w:val="32"/>
          <w:szCs w:val="32"/>
          <w:highlight w:val="none"/>
          <w14:textFill>
            <w14:solidFill>
              <w14:schemeClr w14:val="tx1"/>
            </w14:solidFill>
          </w14:textFill>
        </w:rPr>
        <w:t>单价</w:t>
      </w:r>
      <w:r>
        <w:rPr>
          <w:rFonts w:ascii="仿宋_GB2312" w:eastAsia="仿宋_GB2312"/>
          <w:color w:val="000000" w:themeColor="text1"/>
          <w:sz w:val="32"/>
          <w:szCs w:val="32"/>
          <w:highlight w:val="none"/>
          <w14:textFill>
            <w14:solidFill>
              <w14:schemeClr w14:val="tx1"/>
            </w14:solidFill>
          </w14:textFill>
        </w:rPr>
        <w:t>50</w:t>
      </w:r>
      <w:r>
        <w:rPr>
          <w:rFonts w:hint="eastAsia" w:ascii="仿宋_GB2312" w:eastAsia="仿宋_GB2312"/>
          <w:color w:val="000000" w:themeColor="text1"/>
          <w:sz w:val="32"/>
          <w:szCs w:val="32"/>
          <w:highlight w:val="none"/>
          <w14:textFill>
            <w14:solidFill>
              <w14:schemeClr w14:val="tx1"/>
            </w14:solidFill>
          </w14:textFill>
        </w:rPr>
        <w:t>万元以上通用设备</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台（套），单价</w:t>
      </w:r>
      <w:r>
        <w:rPr>
          <w:rFonts w:ascii="仿宋_GB2312" w:eastAsia="仿宋_GB2312"/>
          <w:color w:val="000000" w:themeColor="text1"/>
          <w:sz w:val="32"/>
          <w:szCs w:val="32"/>
          <w:highlight w:val="none"/>
          <w14:textFill>
            <w14:solidFill>
              <w14:schemeClr w14:val="tx1"/>
            </w14:solidFill>
          </w14:textFill>
        </w:rPr>
        <w:t>100</w:t>
      </w:r>
      <w:r>
        <w:rPr>
          <w:rFonts w:hint="eastAsia" w:ascii="仿宋_GB2312" w:eastAsia="仿宋_GB2312"/>
          <w:color w:val="000000"/>
          <w:sz w:val="32"/>
          <w:szCs w:val="32"/>
          <w:highlight w:val="none"/>
        </w:rPr>
        <w:t>万元以上专用设备</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台（套）。</w:t>
      </w:r>
    </w:p>
    <w:p>
      <w:pPr>
        <w:numPr>
          <w:ilvl w:val="0"/>
          <w:numId w:val="3"/>
        </w:numPr>
        <w:autoSpaceDE w:val="0"/>
        <w:autoSpaceDN w:val="0"/>
        <w:adjustRightInd w:val="0"/>
        <w:spacing w:line="600" w:lineRule="exact"/>
        <w:ind w:firstLine="643" w:firstLineChars="200"/>
        <w:jc w:val="left"/>
        <w:outlineLvl w:val="2"/>
        <w:rPr>
          <w:rFonts w:hint="eastAsia" w:ascii="仿宋" w:hAnsi="仿宋" w:eastAsia="仿宋"/>
          <w:b/>
          <w:color w:val="000000"/>
          <w:sz w:val="32"/>
          <w:szCs w:val="32"/>
          <w:highlight w:val="none"/>
        </w:rPr>
      </w:pPr>
      <w:r>
        <w:rPr>
          <w:rFonts w:hint="eastAsia" w:ascii="仿宋" w:hAnsi="仿宋" w:eastAsia="仿宋"/>
          <w:b/>
          <w:color w:val="000000"/>
          <w:sz w:val="32"/>
          <w:szCs w:val="32"/>
          <w:highlight w:val="none"/>
        </w:rPr>
        <w:t>预算绩效管理情况。</w:t>
      </w:r>
    </w:p>
    <w:p>
      <w:pPr>
        <w:pStyle w:val="2"/>
        <w:numPr>
          <w:ilvl w:val="0"/>
          <w:numId w:val="0"/>
        </w:numPr>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州医疗保障局</w:t>
      </w:r>
      <w:r>
        <w:rPr>
          <w:rFonts w:hint="eastAsia" w:ascii="仿宋_GB2312" w:hAnsi="仿宋_GB2312" w:eastAsia="仿宋_GB2312" w:cs="仿宋_GB2312"/>
          <w:sz w:val="32"/>
          <w:szCs w:val="32"/>
          <w:highlight w:val="none"/>
          <w:lang w:val="zh-CN"/>
        </w:rPr>
        <w:t>属2019年机构改革新成立单位，故无201</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lang w:val="zh-CN"/>
        </w:rPr>
        <w:t>年预算编制情况</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rPr>
        <w:t>执行过程中，选取</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个项目开展绩效监控，年终执行完毕后，对</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个项目开展了绩效目标完成情况自评。</w:t>
      </w:r>
    </w:p>
    <w:p>
      <w:pPr>
        <w:widowControl/>
        <w:adjustRightInd w:val="0"/>
        <w:snapToGrid w:val="0"/>
        <w:spacing w:line="540" w:lineRule="exact"/>
        <w:ind w:firstLine="640" w:firstLineChars="200"/>
        <w:jc w:val="left"/>
        <w:rPr>
          <w:rFonts w:ascii="仿宋_GB2312" w:hAnsi="仿宋" w:eastAsia="仿宋_GB2312"/>
          <w:sz w:val="32"/>
          <w:szCs w:val="32"/>
          <w:highlight w:val="none"/>
          <w:lang w:val="zh-CN"/>
        </w:rPr>
      </w:pPr>
      <w:r>
        <w:rPr>
          <w:rFonts w:hint="eastAsia" w:ascii="仿宋_GB2312" w:hAnsi="仿宋_GB2312" w:eastAsia="仿宋_GB2312" w:cs="仿宋_GB2312"/>
          <w:sz w:val="32"/>
          <w:szCs w:val="32"/>
          <w:highlight w:val="none"/>
        </w:rPr>
        <w:t>本部门按要求对2019年部门整体支出开展绩效自评，从评价情况来看</w:t>
      </w:r>
      <w:r>
        <w:rPr>
          <w:rFonts w:hint="eastAsia" w:ascii="仿宋_GB2312" w:hAnsi="仿宋" w:eastAsia="仿宋_GB2312"/>
          <w:sz w:val="32"/>
          <w:szCs w:val="32"/>
          <w:highlight w:val="none"/>
          <w:lang w:val="zh-CN"/>
        </w:rPr>
        <w:t>我</w:t>
      </w:r>
      <w:r>
        <w:rPr>
          <w:rFonts w:hint="eastAsia" w:ascii="仿宋_GB2312" w:hAnsi="仿宋" w:eastAsia="仿宋_GB2312"/>
          <w:sz w:val="32"/>
          <w:szCs w:val="32"/>
          <w:highlight w:val="none"/>
        </w:rPr>
        <w:t>局</w:t>
      </w:r>
      <w:r>
        <w:rPr>
          <w:rFonts w:hint="eastAsia" w:ascii="仿宋_GB2312" w:hAnsi="仿宋" w:eastAsia="仿宋_GB2312"/>
          <w:sz w:val="32"/>
          <w:szCs w:val="32"/>
          <w:highlight w:val="none"/>
          <w:lang w:val="zh-CN"/>
        </w:rPr>
        <w:t>当期总支出控制在范围内，未发生超额使用情况，为全年支出在可控使用打下一定的基础。</w:t>
      </w:r>
    </w:p>
    <w:p>
      <w:pPr>
        <w:numPr>
          <w:ilvl w:val="0"/>
          <w:numId w:val="4"/>
        </w:numPr>
        <w:spacing w:line="580" w:lineRule="exact"/>
        <w:ind w:firstLine="640" w:firstLineChars="200"/>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项目绩效目标完成情况。</w:t>
      </w:r>
      <w:r>
        <w:rPr>
          <w:rFonts w:hint="eastAsia" w:ascii="楷体_GB2312" w:hAnsi="楷体_GB2312" w:eastAsia="楷体_GB2312" w:cs="楷体_GB2312"/>
          <w:sz w:val="32"/>
          <w:szCs w:val="32"/>
          <w:highlight w:val="none"/>
        </w:rPr>
        <w:br w:type="textWrapping"/>
      </w:r>
      <w:r>
        <w:rPr>
          <w:rFonts w:hint="eastAsia" w:ascii="仿宋_GB2312" w:hAnsi="仿宋_GB2312" w:eastAsia="仿宋_GB2312" w:cs="仿宋_GB2312"/>
          <w:sz w:val="32"/>
          <w:szCs w:val="32"/>
          <w:highlight w:val="none"/>
        </w:rPr>
        <w:t xml:space="preserve">    本部门在2019年度部门决算中反映</w:t>
      </w:r>
      <w:r>
        <w:rPr>
          <w:rFonts w:hint="eastAsia" w:ascii="仿宋_GB2312" w:hAnsi="仿宋_GB2312" w:eastAsia="仿宋_GB2312" w:cs="仿宋_GB2312"/>
          <w:sz w:val="32"/>
          <w:szCs w:val="32"/>
          <w:highlight w:val="none"/>
          <w:lang w:eastAsia="zh-CN"/>
        </w:rPr>
        <w:t>“</w:t>
      </w:r>
      <w:r>
        <w:rPr>
          <w:rFonts w:hint="eastAsia" w:ascii="仿宋_GB2312" w:hAnsi="仿宋" w:eastAsia="仿宋_GB2312"/>
          <w:sz w:val="32"/>
          <w:szCs w:val="32"/>
          <w:highlight w:val="none"/>
        </w:rPr>
        <w:t>公务用车购置</w:t>
      </w:r>
      <w:r>
        <w:rPr>
          <w:rFonts w:hint="eastAsia" w:ascii="仿宋_GB2312" w:hAnsi="仿宋_GB2312" w:eastAsia="仿宋_GB2312" w:cs="仿宋_GB2312"/>
          <w:b w:val="0"/>
          <w:bCs w:val="0"/>
          <w:sz w:val="32"/>
          <w:szCs w:val="32"/>
          <w:highlight w:val="none"/>
          <w:lang w:val="en-US" w:eastAsia="zh-CN"/>
        </w:rPr>
        <w:t>”、“</w:t>
      </w:r>
      <w:r>
        <w:rPr>
          <w:rFonts w:hint="eastAsia" w:ascii="仿宋_GB2312" w:hAnsi="仿宋" w:eastAsia="仿宋_GB2312"/>
          <w:sz w:val="32"/>
          <w:szCs w:val="32"/>
          <w:highlight w:val="none"/>
        </w:rPr>
        <w:t>2019年专项扶贫资金-建档立卡贫困人口大病补充商业保险</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个项目绩效目标实际完成情况。</w:t>
      </w:r>
    </w:p>
    <w:p>
      <w:pPr>
        <w:pStyle w:val="2"/>
        <w:numPr>
          <w:ilvl w:val="0"/>
          <w:numId w:val="5"/>
        </w:numPr>
        <w:ind w:firstLine="640"/>
        <w:rPr>
          <w:rFonts w:hint="eastAsia" w:ascii="仿宋_GB2312" w:hAnsi="仿宋" w:eastAsia="仿宋_GB2312"/>
          <w:sz w:val="32"/>
          <w:szCs w:val="32"/>
        </w:rPr>
      </w:pPr>
      <w:r>
        <w:rPr>
          <w:rFonts w:hint="eastAsia" w:ascii="仿宋_GB2312" w:hAnsi="仿宋" w:eastAsia="仿宋_GB2312"/>
          <w:sz w:val="32"/>
          <w:szCs w:val="32"/>
          <w:highlight w:val="none"/>
        </w:rPr>
        <w:t>公务</w:t>
      </w:r>
      <w:r>
        <w:rPr>
          <w:rFonts w:hint="eastAsia" w:ascii="仿宋_GB2312" w:hAnsi="仿宋" w:eastAsia="仿宋_GB2312"/>
          <w:sz w:val="32"/>
          <w:szCs w:val="32"/>
        </w:rPr>
        <w:t>用车购置</w:t>
      </w:r>
      <w:r>
        <w:rPr>
          <w:rFonts w:hint="eastAsia" w:ascii="仿宋_GB2312" w:hAnsi="仿宋" w:eastAsia="仿宋_GB2312"/>
          <w:sz w:val="32"/>
          <w:szCs w:val="32"/>
          <w:lang w:val="en-US" w:eastAsia="zh-CN"/>
        </w:rPr>
        <w:t>项目完成情况综述，项目全年预算</w:t>
      </w:r>
      <w:r>
        <w:rPr>
          <w:rFonts w:hint="eastAsia" w:ascii="仿宋_GB2312" w:hAnsi="仿宋" w:eastAsia="仿宋_GB2312"/>
          <w:sz w:val="32"/>
          <w:szCs w:val="32"/>
        </w:rPr>
        <w:t>预算60万元，</w:t>
      </w:r>
      <w:r>
        <w:rPr>
          <w:rFonts w:hint="eastAsia" w:ascii="仿宋_GB2312" w:hAnsi="仿宋" w:eastAsia="仿宋_GB2312"/>
          <w:sz w:val="32"/>
          <w:szCs w:val="32"/>
          <w:lang w:val="en-US" w:eastAsia="zh-CN"/>
        </w:rPr>
        <w:t>执行数为</w:t>
      </w:r>
      <w:r>
        <w:rPr>
          <w:rFonts w:hint="eastAsia" w:ascii="仿宋_GB2312" w:hAnsi="仿宋" w:eastAsia="仿宋_GB2312"/>
          <w:sz w:val="32"/>
          <w:szCs w:val="32"/>
        </w:rPr>
        <w:t>59.48万元，</w:t>
      </w:r>
      <w:r>
        <w:rPr>
          <w:rFonts w:hint="eastAsia" w:ascii="仿宋_GB2312" w:hAnsi="仿宋" w:eastAsia="仿宋_GB2312"/>
          <w:sz w:val="32"/>
          <w:szCs w:val="32"/>
          <w:lang w:val="en-US" w:eastAsia="zh-CN"/>
        </w:rPr>
        <w:t>完成预算的99.13%，</w:t>
      </w:r>
      <w:r>
        <w:rPr>
          <w:rFonts w:hint="eastAsia" w:ascii="仿宋_GB2312" w:hAnsi="仿宋" w:eastAsia="仿宋_GB2312"/>
          <w:sz w:val="32"/>
          <w:szCs w:val="32"/>
        </w:rPr>
        <w:t>结转0.52万元。因本年公务车辆于年底采购，仅支付车辆原价，暂未缴纳车辆购置税费，故结转0.52万元于次年缴纳购置税等费。</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2019年专项扶贫资金-建档立卡贫困人口大病补充商业保险</w:t>
      </w:r>
      <w:r>
        <w:rPr>
          <w:rFonts w:hint="eastAsia" w:ascii="仿宋_GB2312" w:hAnsi="仿宋" w:eastAsia="仿宋_GB2312"/>
          <w:sz w:val="32"/>
          <w:szCs w:val="32"/>
          <w:lang w:val="en-US" w:eastAsia="zh-CN"/>
        </w:rPr>
        <w:t>项目完成情况综述。项目全年预算</w:t>
      </w:r>
      <w:r>
        <w:rPr>
          <w:rFonts w:hint="eastAsia" w:ascii="仿宋_GB2312" w:hAnsi="仿宋" w:eastAsia="仿宋_GB2312"/>
          <w:sz w:val="32"/>
          <w:szCs w:val="32"/>
        </w:rPr>
        <w:t>预算</w:t>
      </w:r>
      <w:r>
        <w:rPr>
          <w:rFonts w:hint="eastAsia" w:ascii="仿宋_GB2312" w:hAnsi="Times New Roman" w:eastAsia="仿宋_GB2312" w:cs="Times New Roman"/>
          <w:sz w:val="32"/>
          <w:szCs w:val="32"/>
          <w:lang w:val="en-US" w:eastAsia="zh-CN"/>
        </w:rPr>
        <w:t>629</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执行数为</w:t>
      </w:r>
      <w:r>
        <w:rPr>
          <w:rFonts w:hint="eastAsia" w:ascii="仿宋_GB2312" w:hAnsi="Times New Roman" w:eastAsia="仿宋_GB2312" w:cs="Times New Roman"/>
          <w:sz w:val="32"/>
          <w:szCs w:val="32"/>
          <w:lang w:val="en-US" w:eastAsia="zh-CN"/>
        </w:rPr>
        <w:t>629</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完成预算的100%，</w:t>
      </w:r>
      <w:r>
        <w:rPr>
          <w:rFonts w:hint="eastAsia" w:ascii="仿宋_GB2312" w:hAnsi="Times New Roman" w:eastAsia="仿宋_GB2312" w:cs="Times New Roman"/>
          <w:sz w:val="32"/>
          <w:szCs w:val="32"/>
          <w:lang w:val="zh-CN" w:eastAsia="zh-CN"/>
        </w:rPr>
        <w:t>该项目主要是</w:t>
      </w:r>
      <w:r>
        <w:rPr>
          <w:rFonts w:hint="eastAsia" w:ascii="仿宋_GB2312" w:hAnsi="Times New Roman" w:eastAsia="仿宋_GB2312" w:cs="Times New Roman"/>
          <w:sz w:val="32"/>
          <w:szCs w:val="32"/>
          <w:lang w:val="en-US" w:eastAsia="zh-CN"/>
        </w:rPr>
        <w:t>根据《阿坝州人民政府常务会议议定事项通知》（十二届州人民政府第6次11号）和《阿坝州人民政府办公室办文通知》（〔2017〕4-229号）精神，为深化医保扶贫，发挥大病医疗补充商业保险扶贫效益，减少贫困人口医疗费用垫付时限，促进医疗保险事业可持续发展而成立的。</w:t>
      </w:r>
    </w:p>
    <w:p>
      <w:pPr>
        <w:pStyle w:val="2"/>
        <w:rPr>
          <w:rFonts w:hint="eastAsia" w:ascii="仿宋_GB2312" w:hAnsi="Times New Roman" w:eastAsia="仿宋_GB2312" w:cs="Times New Roman"/>
          <w:sz w:val="32"/>
          <w:szCs w:val="32"/>
          <w:lang w:val="en-US" w:eastAsia="zh-CN"/>
        </w:rPr>
      </w:pPr>
    </w:p>
    <w:p>
      <w:pPr>
        <w:pStyle w:val="2"/>
        <w:rPr>
          <w:rFonts w:hint="eastAsia" w:ascii="仿宋_GB2312" w:hAnsi="Times New Roman" w:eastAsia="仿宋_GB2312" w:cs="Times New Roman"/>
          <w:sz w:val="32"/>
          <w:szCs w:val="32"/>
          <w:lang w:val="en-US" w:eastAsia="zh-CN"/>
        </w:rPr>
      </w:pPr>
    </w:p>
    <w:p>
      <w:pPr>
        <w:pStyle w:val="2"/>
        <w:rPr>
          <w:rFonts w:hint="eastAsia" w:ascii="仿宋_GB2312" w:hAnsi="Times New Roman" w:eastAsia="仿宋_GB2312" w:cs="Times New Roman"/>
          <w:sz w:val="32"/>
          <w:szCs w:val="32"/>
          <w:lang w:val="en-US" w:eastAsia="zh-CN"/>
        </w:rPr>
      </w:pPr>
    </w:p>
    <w:p>
      <w:pPr>
        <w:pStyle w:val="2"/>
        <w:rPr>
          <w:rFonts w:hint="eastAsia" w:ascii="仿宋_GB2312" w:hAnsi="Times New Roman" w:eastAsia="仿宋_GB2312" w:cs="Times New Roman"/>
          <w:sz w:val="32"/>
          <w:szCs w:val="32"/>
          <w:lang w:val="en-US" w:eastAsia="zh-CN"/>
        </w:rPr>
      </w:pPr>
    </w:p>
    <w:p>
      <w:pPr>
        <w:pStyle w:val="2"/>
        <w:rPr>
          <w:rFonts w:hint="eastAsia" w:ascii="仿宋_GB2312" w:hAnsi="Times New Roman" w:eastAsia="仿宋_GB2312" w:cs="Times New Roman"/>
          <w:sz w:val="32"/>
          <w:szCs w:val="32"/>
          <w:lang w:val="en-US" w:eastAsia="zh-CN"/>
        </w:rPr>
      </w:pPr>
    </w:p>
    <w:p>
      <w:pPr>
        <w:pStyle w:val="2"/>
        <w:rPr>
          <w:rFonts w:hint="eastAsia" w:ascii="仿宋_GB2312" w:hAnsi="Times New Roman" w:eastAsia="仿宋_GB2312" w:cs="Times New Roman"/>
          <w:sz w:val="32"/>
          <w:szCs w:val="32"/>
          <w:lang w:val="en-US" w:eastAsia="zh-CN"/>
        </w:rPr>
      </w:pPr>
    </w:p>
    <w:p>
      <w:pPr>
        <w:spacing w:line="580" w:lineRule="exact"/>
        <w:rPr>
          <w:rFonts w:ascii="仿宋_GB2312" w:hAnsi="仿宋_GB2312" w:eastAsia="仿宋_GB2312" w:cs="仿宋_GB2312"/>
          <w:sz w:val="32"/>
          <w:szCs w:val="32"/>
          <w:highlight w:val="green"/>
        </w:rPr>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highlight w:val="none"/>
              </w:rPr>
            </w:pPr>
            <w:r>
              <w:rPr>
                <w:rFonts w:hint="eastAsia" w:ascii="宋体" w:hAnsi="宋体" w:cs="宋体"/>
                <w:b/>
                <w:bCs/>
                <w:color w:val="000000"/>
                <w:kern w:val="0"/>
                <w:sz w:val="36"/>
                <w:szCs w:val="36"/>
                <w:highlight w:val="none"/>
              </w:rPr>
              <w:t>项目绩效目标完成情况表</w:t>
            </w:r>
            <w:r>
              <w:rPr>
                <w:rFonts w:hint="eastAsia" w:ascii="宋体" w:hAnsi="宋体" w:cs="宋体"/>
                <w:b/>
                <w:bCs/>
                <w:color w:val="000000"/>
                <w:kern w:val="0"/>
                <w:sz w:val="36"/>
                <w:szCs w:val="36"/>
                <w:highlight w:val="none"/>
              </w:rPr>
              <w:br w:type="textWrapping"/>
            </w:r>
            <w:r>
              <w:rPr>
                <w:rFonts w:hint="eastAsia" w:ascii="宋体" w:hAnsi="宋体" w:cs="宋体"/>
                <w:color w:val="000000"/>
                <w:kern w:val="0"/>
                <w:sz w:val="36"/>
                <w:szCs w:val="36"/>
                <w:highlight w:val="none"/>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kern w:val="0"/>
                <w:sz w:val="24"/>
                <w:highlight w:val="none"/>
                <w:lang w:val="en-US"/>
              </w:rPr>
            </w:pPr>
            <w:r>
              <w:rPr>
                <w:rFonts w:hint="eastAsia" w:ascii="宋体" w:hAnsi="宋体" w:cs="宋体"/>
                <w:color w:val="000000"/>
                <w:kern w:val="0"/>
                <w:sz w:val="24"/>
                <w:highlight w:val="none"/>
                <w:lang w:val="en-US" w:eastAsia="zh-CN"/>
              </w:rPr>
              <w:t>公务用车购置项目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kern w:val="0"/>
                <w:sz w:val="24"/>
                <w:highlight w:val="none"/>
                <w:lang w:val="en-US" w:eastAsia="zh-CN"/>
              </w:rPr>
              <w:t>阿坝州医疗保障事务中心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59.48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highlight w:val="none"/>
                <w:lang w:val="en-US"/>
              </w:rPr>
            </w:pPr>
            <w:r>
              <w:rPr>
                <w:rFonts w:hint="eastAsia" w:ascii="宋体" w:hAnsi="宋体" w:cs="宋体"/>
                <w:color w:val="000000"/>
                <w:sz w:val="24"/>
                <w:highlight w:val="none"/>
                <w:lang w:val="en-US" w:eastAsia="zh-CN"/>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sz w:val="24"/>
                <w:highlight w:val="none"/>
                <w:lang w:val="en-US"/>
              </w:rPr>
            </w:pPr>
            <w:r>
              <w:rPr>
                <w:rFonts w:hint="eastAsia" w:ascii="宋体" w:hAnsi="宋体" w:cs="宋体"/>
                <w:color w:val="000000"/>
                <w:sz w:val="24"/>
                <w:highlight w:val="none"/>
                <w:lang w:val="en-US" w:eastAsia="zh-CN"/>
              </w:rPr>
              <w:t>59.48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none"/>
                <w:lang w:val="en-US" w:eastAsia="zh-CN"/>
              </w:rPr>
            </w:pPr>
            <w:r>
              <w:rPr>
                <w:rFonts w:hint="eastAsia" w:ascii="宋体" w:hAnsi="宋体" w:cs="宋体"/>
                <w:color w:val="000000"/>
                <w:sz w:val="18"/>
                <w:szCs w:val="18"/>
                <w:highlight w:val="none"/>
                <w:lang w:val="en-US" w:eastAsia="zh-CN"/>
              </w:rPr>
              <w:t>购买公车一辆</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numPr>
                <w:ilvl w:val="0"/>
                <w:numId w:val="0"/>
              </w:numPr>
              <w:rPr>
                <w:rFonts w:hint="eastAsia" w:ascii="仿宋_GB2312" w:hAnsi="仿宋" w:eastAsia="仿宋_GB2312"/>
                <w:sz w:val="21"/>
                <w:szCs w:val="21"/>
                <w:highlight w:val="none"/>
              </w:rPr>
            </w:pPr>
            <w:r>
              <w:rPr>
                <w:rFonts w:hint="eastAsia" w:ascii="仿宋_GB2312" w:hAnsi="仿宋" w:eastAsia="仿宋_GB2312"/>
                <w:sz w:val="21"/>
                <w:szCs w:val="21"/>
                <w:highlight w:val="none"/>
                <w:lang w:val="en-US" w:eastAsia="zh-CN"/>
              </w:rPr>
              <w:t>12月购置公车一辆</w:t>
            </w:r>
            <w:r>
              <w:rPr>
                <w:rFonts w:hint="eastAsia" w:ascii="仿宋_GB2312" w:hAnsi="仿宋" w:eastAsia="仿宋_GB2312"/>
                <w:sz w:val="21"/>
                <w:szCs w:val="21"/>
                <w:highlight w:val="none"/>
              </w:rPr>
              <w:t>，</w:t>
            </w:r>
            <w:r>
              <w:rPr>
                <w:rFonts w:hint="eastAsia" w:ascii="仿宋_GB2312" w:hAnsi="仿宋" w:eastAsia="仿宋_GB2312"/>
                <w:sz w:val="21"/>
                <w:szCs w:val="21"/>
                <w:highlight w:val="none"/>
                <w:lang w:val="en-US" w:eastAsia="zh-CN"/>
              </w:rPr>
              <w:t>执行数为</w:t>
            </w:r>
            <w:r>
              <w:rPr>
                <w:rFonts w:hint="eastAsia" w:ascii="仿宋_GB2312" w:hAnsi="仿宋" w:eastAsia="仿宋_GB2312"/>
                <w:sz w:val="21"/>
                <w:szCs w:val="21"/>
                <w:highlight w:val="none"/>
              </w:rPr>
              <w:t>59.48万元，</w:t>
            </w:r>
            <w:r>
              <w:rPr>
                <w:rFonts w:hint="eastAsia" w:ascii="仿宋_GB2312" w:hAnsi="仿宋" w:eastAsia="仿宋_GB2312"/>
                <w:sz w:val="21"/>
                <w:szCs w:val="21"/>
                <w:highlight w:val="none"/>
                <w:lang w:val="en-US" w:eastAsia="zh-CN"/>
              </w:rPr>
              <w:t>完成预算的99.13%，</w:t>
            </w:r>
            <w:r>
              <w:rPr>
                <w:rFonts w:hint="eastAsia" w:ascii="仿宋_GB2312" w:hAnsi="仿宋" w:eastAsia="仿宋_GB2312"/>
                <w:sz w:val="21"/>
                <w:szCs w:val="21"/>
                <w:highlight w:val="none"/>
              </w:rPr>
              <w:t>结转0.52万元。因本年公务车辆于年底采购，仅支付车辆原价，暂未缴纳车辆购置税费，故结转0.52万元于次年缴纳购置税等费。</w:t>
            </w:r>
          </w:p>
          <w:p>
            <w:pPr>
              <w:pStyle w:val="2"/>
              <w:ind w:firstLine="640"/>
              <w:jc w:val="left"/>
              <w:rPr>
                <w:rFonts w:ascii="仿宋_GB2312" w:hAnsi="仿宋" w:eastAsia="仿宋_GB2312"/>
                <w:sz w:val="32"/>
                <w:szCs w:val="32"/>
                <w:highlight w:val="none"/>
              </w:rPr>
            </w:pPr>
            <w:r>
              <w:rPr>
                <w:rFonts w:hint="eastAsia" w:ascii="宋体" w:hAnsi="宋体" w:cs="宋体"/>
                <w:color w:val="000000"/>
                <w:sz w:val="18"/>
                <w:szCs w:val="18"/>
                <w:highlight w:val="none"/>
                <w:lang w:val="en-US" w:eastAsia="zh-CN"/>
              </w:rPr>
              <w:t>。</w:t>
            </w:r>
          </w:p>
          <w:p>
            <w:pPr>
              <w:widowControl/>
              <w:jc w:val="left"/>
              <w:textAlignment w:val="center"/>
              <w:rPr>
                <w:rFonts w:hint="eastAsia" w:ascii="宋体" w:hAnsi="宋体" w:cs="宋体"/>
                <w:color w:val="000000"/>
                <w:sz w:val="18"/>
                <w:szCs w:val="18"/>
                <w:highlight w:val="none"/>
                <w:lang w:val="en-US" w:eastAsia="zh-CN"/>
              </w:rPr>
            </w:pPr>
          </w:p>
        </w:tc>
      </w:tr>
      <w:tr>
        <w:tblPrEx>
          <w:tblCellMar>
            <w:top w:w="0" w:type="dxa"/>
            <w:left w:w="0" w:type="dxa"/>
            <w:bottom w:w="0" w:type="dxa"/>
            <w:right w:w="0" w:type="dxa"/>
          </w:tblCellMar>
        </w:tblPrEx>
        <w:trPr>
          <w:trHeight w:val="80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rFonts w:hint="eastAsia" w:ascii="宋体" w:hAnsi="宋体" w:eastAsia="宋体" w:cs="宋体"/>
                <w:color w:val="000000"/>
                <w:sz w:val="24"/>
                <w:highlight w:val="none"/>
                <w:lang w:eastAsia="zh-CN"/>
              </w:rPr>
            </w:pPr>
            <w:r>
              <w:rPr>
                <w:rFonts w:hint="eastAsia" w:ascii="宋体" w:hAnsi="宋体" w:cs="宋体"/>
                <w:color w:val="000000"/>
                <w:sz w:val="18"/>
                <w:szCs w:val="18"/>
                <w:highlight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sz w:val="24"/>
                <w:highlight w:val="none"/>
                <w:lang w:val="en-US" w:eastAsia="zh-CN"/>
              </w:rPr>
            </w:pPr>
            <w:r>
              <w:rPr>
                <w:rFonts w:hint="eastAsia" w:ascii="宋体" w:hAnsi="宋体" w:cs="宋体"/>
                <w:color w:val="000000"/>
                <w:sz w:val="18"/>
                <w:szCs w:val="18"/>
                <w:highlight w:val="none"/>
                <w:lang w:val="en-US" w:eastAsia="zh-CN"/>
              </w:rPr>
              <w:t>购买公车数量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p>
        </w:tc>
        <w:tc>
          <w:tcPr>
            <w:tcW w:w="239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sz w:val="24"/>
                <w:highlight w:val="none"/>
                <w:lang w:val="en-US" w:eastAsia="zh-CN"/>
              </w:rPr>
            </w:pPr>
            <w:r>
              <w:rPr>
                <w:rFonts w:hint="eastAsia" w:ascii="仿宋_GB2312" w:eastAsia="仿宋_GB2312"/>
                <w:sz w:val="21"/>
                <w:szCs w:val="21"/>
                <w:highlight w:val="none"/>
                <w:lang w:val="en-US" w:eastAsia="zh-CN"/>
              </w:rPr>
              <w:t>经阿坝州公务用车制度改革和管理领导小组办公室研究</w:t>
            </w:r>
            <w:r>
              <w:rPr>
                <w:rFonts w:hint="eastAsia" w:ascii="仿宋_GB2312" w:eastAsia="仿宋_GB2312"/>
                <w:sz w:val="21"/>
                <w:szCs w:val="21"/>
                <w:highlight w:val="none"/>
              </w:rPr>
              <w:t>(阿州</w:t>
            </w:r>
            <w:r>
              <w:rPr>
                <w:rFonts w:hint="eastAsia" w:ascii="仿宋_GB2312" w:eastAsia="仿宋_GB2312"/>
                <w:sz w:val="21"/>
                <w:szCs w:val="21"/>
                <w:highlight w:val="none"/>
                <w:lang w:val="en-US" w:eastAsia="zh-CN"/>
              </w:rPr>
              <w:t>财库</w:t>
            </w:r>
            <w:r>
              <w:rPr>
                <w:rFonts w:hint="eastAsia" w:ascii="仿宋_GB2312" w:eastAsia="仿宋_GB2312"/>
                <w:sz w:val="21"/>
                <w:szCs w:val="21"/>
                <w:highlight w:val="none"/>
              </w:rPr>
              <w:t>〔</w:t>
            </w:r>
            <w:r>
              <w:rPr>
                <w:rFonts w:hint="eastAsia" w:ascii="仿宋_GB2312" w:eastAsia="仿宋_GB2312"/>
                <w:sz w:val="21"/>
                <w:szCs w:val="21"/>
                <w:highlight w:val="none"/>
                <w:lang w:val="en-US" w:eastAsia="zh-CN"/>
              </w:rPr>
              <w:t>2019</w:t>
            </w:r>
            <w:r>
              <w:rPr>
                <w:rFonts w:hint="eastAsia" w:ascii="仿宋_GB2312" w:eastAsia="仿宋_GB2312"/>
                <w:sz w:val="21"/>
                <w:szCs w:val="21"/>
                <w:highlight w:val="none"/>
              </w:rPr>
              <w:t>〕1</w:t>
            </w:r>
            <w:r>
              <w:rPr>
                <w:rFonts w:hint="eastAsia" w:ascii="仿宋_GB2312" w:eastAsia="仿宋_GB2312"/>
                <w:sz w:val="21"/>
                <w:szCs w:val="21"/>
                <w:highlight w:val="none"/>
                <w:lang w:val="en-US" w:eastAsia="zh-CN"/>
              </w:rPr>
              <w:t>2</w:t>
            </w:r>
            <w:r>
              <w:rPr>
                <w:rFonts w:hint="eastAsia" w:ascii="仿宋_GB2312" w:eastAsia="仿宋_GB2312"/>
                <w:sz w:val="21"/>
                <w:szCs w:val="21"/>
                <w:highlight w:val="none"/>
              </w:rPr>
              <w:t>号)</w:t>
            </w:r>
            <w:r>
              <w:rPr>
                <w:rFonts w:hint="eastAsia" w:ascii="仿宋_GB2312" w:eastAsia="仿宋_GB2312"/>
                <w:sz w:val="21"/>
                <w:szCs w:val="21"/>
                <w:highlight w:val="none"/>
                <w:lang w:val="en-US" w:eastAsia="zh-CN"/>
              </w:rPr>
              <w:t>同意阿坝州医疗保障事务中心更新1辆排</w:t>
            </w:r>
            <w:r>
              <w:rPr>
                <w:rFonts w:hint="eastAsia" w:ascii="仿宋_GB2312" w:eastAsia="仿宋_GB2312"/>
                <w:sz w:val="21"/>
                <w:szCs w:val="21"/>
                <w:lang w:val="en-US" w:eastAsia="zh-CN"/>
              </w:rPr>
              <w:t>气量3.5升以下，价格60万元以内的国产越野型公务用车</w:t>
            </w:r>
            <w:r>
              <w:rPr>
                <w:rFonts w:hint="eastAsia" w:ascii="仿宋_GB2312" w:eastAsia="仿宋_GB2312"/>
                <w:sz w:val="21"/>
                <w:szCs w:val="21"/>
                <w:lang w:eastAsia="zh-CN"/>
              </w:rPr>
              <w:t>。</w:t>
            </w:r>
            <w:r>
              <w:rPr>
                <w:rFonts w:hint="eastAsia" w:ascii="仿宋_GB2312" w:eastAsia="仿宋_GB2312"/>
                <w:sz w:val="21"/>
                <w:szCs w:val="21"/>
                <w:lang w:val="en-US" w:eastAsia="zh-CN"/>
              </w:rPr>
              <w:t>我局于严格按照党政机关公务用车配备使用管理和政府采购有关规定，于12月购置公务用车一辆，金额594800元。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green"/>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ascii="宋体" w:hAnsi="宋体" w:cs="宋体"/>
                <w:color w:val="000000"/>
                <w:sz w:val="24"/>
                <w:highlight w:val="green"/>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green"/>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green"/>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green"/>
              </w:rPr>
            </w:pPr>
          </w:p>
        </w:tc>
        <w:tc>
          <w:tcPr>
            <w:tcW w:w="2392"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green"/>
              </w:rPr>
            </w:pPr>
          </w:p>
        </w:tc>
      </w:tr>
      <w:tr>
        <w:tblPrEx>
          <w:tblCellMar>
            <w:top w:w="0" w:type="dxa"/>
            <w:left w:w="0" w:type="dxa"/>
            <w:bottom w:w="0" w:type="dxa"/>
            <w:right w:w="0" w:type="dxa"/>
          </w:tblCellMar>
        </w:tblPrEx>
        <w:trPr>
          <w:trHeight w:val="235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green"/>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green"/>
              </w:rPr>
            </w:pP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green"/>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green"/>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green"/>
              </w:rPr>
            </w:pPr>
          </w:p>
        </w:tc>
        <w:tc>
          <w:tcPr>
            <w:tcW w:w="239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green"/>
              </w:rPr>
            </w:pPr>
          </w:p>
        </w:tc>
      </w:tr>
    </w:tbl>
    <w:tbl>
      <w:tblPr>
        <w:tblStyle w:val="11"/>
        <w:tblpPr w:leftFromText="180" w:rightFromText="180" w:vertAnchor="text" w:horzAnchor="page" w:tblpX="1027" w:tblpY="256"/>
        <w:tblOverlap w:val="never"/>
        <w:tblW w:w="10133" w:type="dxa"/>
        <w:jc w:val="center"/>
        <w:tblLayout w:type="fixed"/>
        <w:tblCellMar>
          <w:top w:w="0" w:type="dxa"/>
          <w:left w:w="0" w:type="dxa"/>
          <w:bottom w:w="0" w:type="dxa"/>
          <w:right w:w="0" w:type="dxa"/>
        </w:tblCellMar>
      </w:tblPr>
      <w:tblGrid>
        <w:gridCol w:w="390"/>
        <w:gridCol w:w="1367"/>
        <w:gridCol w:w="1025"/>
        <w:gridCol w:w="2443"/>
        <w:gridCol w:w="2343"/>
        <w:gridCol w:w="2565"/>
      </w:tblGrid>
      <w:tr>
        <w:tblPrEx>
          <w:tblCellMar>
            <w:top w:w="0" w:type="dxa"/>
            <w:left w:w="0" w:type="dxa"/>
            <w:bottom w:w="0" w:type="dxa"/>
            <w:right w:w="0" w:type="dxa"/>
          </w:tblCellMar>
        </w:tblPrEx>
        <w:trPr>
          <w:trHeight w:val="1034" w:hRule="atLeast"/>
          <w:jc w:val="center"/>
        </w:trPr>
        <w:tc>
          <w:tcPr>
            <w:tcW w:w="10133"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cs="宋体"/>
                <w:b/>
                <w:bCs/>
                <w:color w:val="000000"/>
                <w:kern w:val="0"/>
                <w:sz w:val="36"/>
                <w:szCs w:val="36"/>
                <w:highlight w:val="none"/>
              </w:rPr>
            </w:pPr>
          </w:p>
          <w:p>
            <w:pPr>
              <w:widowControl/>
              <w:jc w:val="center"/>
              <w:textAlignment w:val="center"/>
              <w:rPr>
                <w:rFonts w:hint="eastAsia" w:ascii="宋体" w:hAnsi="宋体" w:cs="宋体"/>
                <w:b/>
                <w:bCs/>
                <w:color w:val="000000"/>
                <w:kern w:val="0"/>
                <w:sz w:val="36"/>
                <w:szCs w:val="36"/>
                <w:highlight w:val="none"/>
              </w:rPr>
            </w:pPr>
          </w:p>
          <w:p>
            <w:pPr>
              <w:widowControl/>
              <w:jc w:val="center"/>
              <w:textAlignment w:val="center"/>
              <w:rPr>
                <w:rFonts w:ascii="宋体" w:hAnsi="宋体" w:cs="宋体"/>
                <w:color w:val="000000"/>
                <w:sz w:val="36"/>
                <w:szCs w:val="36"/>
                <w:highlight w:val="none"/>
              </w:rPr>
            </w:pPr>
            <w:r>
              <w:rPr>
                <w:rFonts w:hint="eastAsia" w:ascii="宋体" w:hAnsi="宋体" w:cs="宋体"/>
                <w:b/>
                <w:bCs/>
                <w:color w:val="000000"/>
                <w:kern w:val="0"/>
                <w:sz w:val="36"/>
                <w:szCs w:val="36"/>
                <w:highlight w:val="none"/>
              </w:rPr>
              <w:t>项目绩效目标完成情况表</w:t>
            </w:r>
            <w:r>
              <w:rPr>
                <w:rFonts w:hint="eastAsia" w:ascii="宋体" w:hAnsi="宋体" w:cs="宋体"/>
                <w:b/>
                <w:bCs/>
                <w:color w:val="000000"/>
                <w:kern w:val="0"/>
                <w:sz w:val="36"/>
                <w:szCs w:val="36"/>
                <w:highlight w:val="none"/>
              </w:rPr>
              <w:br w:type="textWrapping"/>
            </w:r>
            <w:r>
              <w:rPr>
                <w:rFonts w:hint="eastAsia" w:ascii="宋体" w:hAnsi="宋体" w:cs="宋体"/>
                <w:color w:val="000000"/>
                <w:kern w:val="0"/>
                <w:sz w:val="36"/>
                <w:szCs w:val="36"/>
                <w:highlight w:val="none"/>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项目名称</w:t>
            </w:r>
          </w:p>
        </w:tc>
        <w:tc>
          <w:tcPr>
            <w:tcW w:w="73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2019年专项扶贫资金-建档立卡贫困人口大病补充商业保险项目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预算单位</w:t>
            </w:r>
          </w:p>
        </w:tc>
        <w:tc>
          <w:tcPr>
            <w:tcW w:w="7351"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阿坝州医疗保障事务中心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预算数:</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629</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执行数:</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629</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其中-财政拨款:</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629</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highlight w:val="none"/>
              </w:rPr>
            </w:pPr>
            <w:r>
              <w:rPr>
                <w:rFonts w:hint="eastAsia" w:ascii="宋体" w:hAnsi="宋体" w:cs="宋体"/>
                <w:color w:val="000000"/>
                <w:kern w:val="0"/>
                <w:sz w:val="24"/>
                <w:highlight w:val="none"/>
              </w:rPr>
              <w:t>其中-财政拨款:</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宋体" w:hAnsi="宋体" w:eastAsia="宋体" w:cs="宋体"/>
                <w:color w:val="000000"/>
                <w:kern w:val="0"/>
                <w:sz w:val="24"/>
                <w:highlight w:val="none"/>
                <w:lang w:val="en-US" w:eastAsia="zh-CN"/>
              </w:rPr>
            </w:pPr>
            <w:r>
              <w:rPr>
                <w:rFonts w:hint="eastAsia" w:ascii="宋体" w:hAnsi="宋体" w:cs="宋体"/>
                <w:color w:val="000000"/>
                <w:kern w:val="0"/>
                <w:sz w:val="24"/>
                <w:highlight w:val="none"/>
                <w:lang w:val="en-US" w:eastAsia="zh-CN"/>
              </w:rPr>
              <w:t>629</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其它资金:</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0</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其它资金:</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highlight w:val="none"/>
                <w:lang w:val="en-US" w:eastAsia="zh-CN"/>
              </w:rPr>
            </w:pPr>
            <w:r>
              <w:rPr>
                <w:rFonts w:hint="eastAsia" w:ascii="宋体" w:hAnsi="宋体" w:cs="宋体"/>
                <w:color w:val="000000"/>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年度目标完成情况</w:t>
            </w:r>
          </w:p>
        </w:tc>
        <w:tc>
          <w:tcPr>
            <w:tcW w:w="48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预期目标</w:t>
            </w:r>
          </w:p>
        </w:tc>
        <w:tc>
          <w:tcPr>
            <w:tcW w:w="49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实际完成目标</w:t>
            </w:r>
          </w:p>
        </w:tc>
      </w:tr>
      <w:tr>
        <w:tblPrEx>
          <w:tblCellMar>
            <w:top w:w="0" w:type="dxa"/>
            <w:left w:w="0" w:type="dxa"/>
            <w:bottom w:w="0" w:type="dxa"/>
            <w:right w:w="0" w:type="dxa"/>
          </w:tblCellMar>
        </w:tblPrEx>
        <w:trPr>
          <w:trHeight w:val="14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highlight w:val="none"/>
              </w:rPr>
            </w:pPr>
          </w:p>
        </w:tc>
        <w:tc>
          <w:tcPr>
            <w:tcW w:w="483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360" w:firstLineChars="200"/>
              <w:jc w:val="left"/>
              <w:textAlignment w:val="center"/>
              <w:rPr>
                <w:rFonts w:hint="default" w:ascii="宋体" w:hAnsi="宋体" w:eastAsia="宋体" w:cs="宋体"/>
                <w:i w:val="0"/>
                <w:color w:val="000000"/>
                <w:kern w:val="2"/>
                <w:sz w:val="20"/>
                <w:szCs w:val="20"/>
                <w:highlight w:val="none"/>
                <w:u w:val="none"/>
                <w:lang w:val="en-US" w:eastAsia="zh-CN" w:bidi="ar-SA"/>
              </w:rPr>
            </w:pPr>
            <w:r>
              <w:rPr>
                <w:rFonts w:hint="eastAsia" w:ascii="宋体" w:hAnsi="宋体" w:eastAsia="宋体" w:cs="宋体"/>
                <w:color w:val="000000"/>
                <w:kern w:val="2"/>
                <w:sz w:val="18"/>
                <w:szCs w:val="18"/>
                <w:highlight w:val="none"/>
                <w:lang w:val="zh-CN" w:eastAsia="zh-CN" w:bidi="ar-SA"/>
              </w:rPr>
              <w:t>该项目主要是</w:t>
            </w:r>
            <w:r>
              <w:rPr>
                <w:rFonts w:hint="eastAsia" w:ascii="宋体" w:hAnsi="宋体" w:eastAsia="宋体" w:cs="宋体"/>
                <w:color w:val="000000"/>
                <w:kern w:val="2"/>
                <w:sz w:val="18"/>
                <w:szCs w:val="18"/>
                <w:highlight w:val="none"/>
                <w:lang w:val="en-US" w:eastAsia="zh-CN" w:bidi="ar-SA"/>
              </w:rPr>
              <w:t>根据《阿坝州人民政府常务会议议定事项通知》（十二届州人民政府第6次11号）和《阿坝州人民政府办公室办文通知》（〔2017〕4-229号）精神，为深化医保扶贫，发挥大病医疗补充商业保险扶贫效益，减少贫困人口医疗费用垫付时限，促进医疗保险事业可持续发展而成立的</w:t>
            </w:r>
            <w:r>
              <w:rPr>
                <w:rFonts w:hint="eastAsia" w:ascii="宋体" w:hAnsi="宋体" w:cs="宋体"/>
                <w:color w:val="000000"/>
                <w:kern w:val="2"/>
                <w:sz w:val="18"/>
                <w:szCs w:val="18"/>
                <w:highlight w:val="none"/>
                <w:lang w:val="en-US" w:eastAsia="zh-CN" w:bidi="ar-SA"/>
              </w:rPr>
              <w:t>。</w:t>
            </w:r>
          </w:p>
        </w:tc>
        <w:tc>
          <w:tcPr>
            <w:tcW w:w="4908"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ind w:firstLine="360" w:firstLineChars="200"/>
              <w:jc w:val="left"/>
              <w:textAlignment w:val="center"/>
              <w:rPr>
                <w:rFonts w:hint="eastAsia" w:ascii="宋体" w:hAnsi="宋体" w:eastAsia="宋体" w:cs="宋体"/>
                <w:color w:val="000000"/>
                <w:kern w:val="2"/>
                <w:sz w:val="18"/>
                <w:szCs w:val="18"/>
                <w:highlight w:val="none"/>
                <w:lang w:val="zh-CN" w:eastAsia="zh-CN" w:bidi="ar-SA"/>
              </w:rPr>
            </w:pPr>
            <w:r>
              <w:rPr>
                <w:rFonts w:hint="eastAsia" w:ascii="宋体" w:hAnsi="宋体" w:eastAsia="宋体" w:cs="宋体"/>
                <w:color w:val="000000"/>
                <w:kern w:val="2"/>
                <w:sz w:val="18"/>
                <w:szCs w:val="18"/>
                <w:highlight w:val="none"/>
                <w:lang w:val="zh-CN" w:eastAsia="zh-CN" w:bidi="ar-SA"/>
              </w:rPr>
              <w:t>我中心严格按照相关政策及时将城乡居民补充医疗保险保费支付给承办保险公司，异地平台结算的费用由我中心代为支付给省医保局，保障了城乡居民待遇，提升了贫困人口幸福感和获得感。得到了参保人员的理解和支持。</w:t>
            </w:r>
          </w:p>
          <w:p>
            <w:pPr>
              <w:widowControl/>
              <w:jc w:val="left"/>
              <w:textAlignment w:val="center"/>
              <w:rPr>
                <w:rFonts w:hint="eastAsia" w:ascii="宋体" w:hAnsi="宋体" w:eastAsia="宋体" w:cs="宋体"/>
                <w:color w:val="000000"/>
                <w:sz w:val="18"/>
                <w:szCs w:val="18"/>
                <w:highlight w:val="none"/>
                <w:lang w:val="en-US" w:eastAsia="zh-CN"/>
              </w:rPr>
            </w:pPr>
          </w:p>
        </w:tc>
      </w:tr>
      <w:tr>
        <w:tblPrEx>
          <w:tblCellMar>
            <w:top w:w="0" w:type="dxa"/>
            <w:left w:w="0" w:type="dxa"/>
            <w:bottom w:w="0" w:type="dxa"/>
            <w:right w:w="0" w:type="dxa"/>
          </w:tblCellMar>
        </w:tblPrEx>
        <w:trPr>
          <w:trHeight w:val="80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24"/>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二级指标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三级指标</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预期指标值(包含数字及文字描述)</w:t>
            </w:r>
          </w:p>
        </w:tc>
        <w:tc>
          <w:tcPr>
            <w:tcW w:w="25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实际完成指标值(包含数字及文字描述)</w:t>
            </w:r>
          </w:p>
        </w:tc>
      </w:tr>
      <w:tr>
        <w:tblPrEx>
          <w:tblCellMar>
            <w:top w:w="0" w:type="dxa"/>
            <w:left w:w="0" w:type="dxa"/>
            <w:bottom w:w="0" w:type="dxa"/>
            <w:right w:w="0" w:type="dxa"/>
          </w:tblCellMar>
        </w:tblPrEx>
        <w:trPr>
          <w:trHeight w:val="754"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rFonts w:hint="eastAsia" w:ascii="宋体" w:hAnsi="宋体" w:eastAsia="宋体" w:cs="宋体"/>
                <w:color w:val="000000"/>
                <w:sz w:val="24"/>
                <w:highlight w:val="none"/>
                <w:lang w:eastAsia="zh-CN"/>
              </w:rPr>
            </w:pPr>
            <w:r>
              <w:rPr>
                <w:rFonts w:hint="eastAsia" w:ascii="宋体" w:hAnsi="宋体" w:cs="宋体"/>
                <w:color w:val="000000"/>
                <w:sz w:val="18"/>
                <w:szCs w:val="18"/>
                <w:highlight w:val="none"/>
                <w:lang w:val="en-US" w:eastAsia="zh-CN"/>
              </w:rPr>
              <w:t>数量</w:t>
            </w:r>
            <w:r>
              <w:rPr>
                <w:rFonts w:hint="eastAsia" w:ascii="宋体" w:hAnsi="宋体" w:cs="宋体"/>
                <w:color w:val="000000"/>
                <w:sz w:val="18"/>
                <w:szCs w:val="18"/>
                <w:highlight w:val="none"/>
              </w:rPr>
              <w:t>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ind w:left="0" w:leftChars="0" w:firstLine="0" w:firstLineChars="0"/>
              <w:jc w:val="both"/>
              <w:rPr>
                <w:rFonts w:hint="default"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en-US" w:eastAsia="zh-CN" w:bidi="ar-SA"/>
              </w:rPr>
              <w:t>资金计划</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right="-206" w:rightChars="-98"/>
              <w:jc w:val="left"/>
              <w:textAlignment w:val="center"/>
              <w:rPr>
                <w:rFonts w:ascii="宋体" w:hAnsi="宋体" w:cs="宋体"/>
                <w:color w:val="000000"/>
                <w:sz w:val="24"/>
                <w:highlight w:val="none"/>
              </w:rPr>
            </w:pPr>
          </w:p>
        </w:tc>
        <w:tc>
          <w:tcPr>
            <w:tcW w:w="256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tabs>
                <w:tab w:val="left" w:pos="291"/>
              </w:tabs>
              <w:ind w:firstLine="360" w:firstLineChars="200"/>
              <w:jc w:val="left"/>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zh-CN" w:eastAsia="zh-CN" w:bidi="ar-SA"/>
              </w:rPr>
              <w:t>根据</w:t>
            </w:r>
            <w:r>
              <w:rPr>
                <w:rFonts w:hint="eastAsia" w:ascii="宋体" w:hAnsi="宋体" w:eastAsia="宋体" w:cs="宋体"/>
                <w:color w:val="000000"/>
                <w:kern w:val="2"/>
                <w:sz w:val="18"/>
                <w:szCs w:val="18"/>
                <w:highlight w:val="none"/>
                <w:lang w:val="en-US" w:eastAsia="zh-CN" w:bidi="ar-SA"/>
              </w:rPr>
              <w:t>《阿坝州财政局 阿坝州扶贫移民局关于下达2018年州级财政专项扶贫资金的通知》（阿州财农【2019】17号）号文件规定，财政局安排2019年建档立卡贫困人口大病医疗补充商业保险州级配套资金629万元，并于2019年3月拨款到位。</w:t>
            </w:r>
          </w:p>
          <w:p>
            <w:pPr>
              <w:pStyle w:val="2"/>
              <w:rPr>
                <w:rFonts w:hint="eastAsia" w:ascii="宋体" w:hAnsi="宋体" w:eastAsia="宋体" w:cs="宋体"/>
                <w:color w:val="000000"/>
                <w:kern w:val="2"/>
                <w:sz w:val="18"/>
                <w:szCs w:val="18"/>
                <w:highlight w:val="none"/>
                <w:lang w:val="zh-CN" w:eastAsia="zh-CN" w:bidi="ar-SA"/>
              </w:rPr>
            </w:pPr>
            <w:r>
              <w:rPr>
                <w:rFonts w:hint="eastAsia" w:ascii="宋体" w:hAnsi="宋体" w:eastAsia="宋体" w:cs="宋体"/>
                <w:color w:val="000000"/>
                <w:kern w:val="2"/>
                <w:sz w:val="18"/>
                <w:szCs w:val="18"/>
                <w:highlight w:val="none"/>
                <w:lang w:val="zh-CN" w:eastAsia="zh-CN" w:bidi="ar-SA"/>
              </w:rPr>
              <w:t>严格遵守该笔资金“专款专用”， 州财政局城乡居民医疗保险基金财政专户于2019年3月收到该笔资金，我中心按资金性质计入“暂收款”，并于3月22日将该笔资金作为我州城乡居民建档立卡贫困人口大病补充商业保险第一笔保费支付给人保财险公司</w:t>
            </w:r>
          </w:p>
          <w:p>
            <w:pPr>
              <w:widowControl/>
              <w:jc w:val="center"/>
              <w:textAlignment w:val="center"/>
              <w:rPr>
                <w:rFonts w:hint="eastAsia" w:ascii="宋体" w:hAnsi="宋体" w:eastAsia="宋体" w:cs="宋体"/>
                <w:color w:val="000000"/>
                <w:sz w:val="24"/>
                <w:highlight w:val="none"/>
                <w:lang w:val="en-US" w:eastAsia="zh-CN"/>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sz w:val="18"/>
                <w:szCs w:val="18"/>
                <w:highlight w:val="none"/>
                <w:lang w:val="en-US" w:eastAsia="zh-CN"/>
              </w:rPr>
              <w:t>数量</w:t>
            </w:r>
            <w:r>
              <w:rPr>
                <w:rFonts w:hint="eastAsia" w:ascii="宋体" w:hAnsi="宋体" w:cs="宋体"/>
                <w:color w:val="000000"/>
                <w:sz w:val="18"/>
                <w:szCs w:val="18"/>
                <w:highlight w:val="none"/>
              </w:rPr>
              <w:t>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rFonts w:hint="default"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en-US" w:eastAsia="zh-CN" w:bidi="ar-SA"/>
              </w:rPr>
              <w:t>资金到位</w:t>
            </w:r>
            <w:r>
              <w:rPr>
                <w:rFonts w:hint="eastAsia" w:ascii="宋体" w:hAnsi="宋体" w:cs="宋体"/>
                <w:color w:val="000000"/>
                <w:kern w:val="2"/>
                <w:sz w:val="18"/>
                <w:szCs w:val="18"/>
                <w:highlight w:val="none"/>
                <w:lang w:val="en-US" w:eastAsia="zh-CN" w:bidi="ar-SA"/>
              </w:rPr>
              <w:t>时间</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none"/>
              </w:rPr>
            </w:pPr>
            <w:r>
              <w:rPr>
                <w:rFonts w:hint="eastAsia" w:ascii="宋体" w:hAnsi="宋体" w:cs="宋体"/>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sz w:val="18"/>
                <w:szCs w:val="18"/>
                <w:highlight w:val="none"/>
              </w:rPr>
            </w:pPr>
            <w:r>
              <w:rPr>
                <w:rFonts w:hint="eastAsia" w:ascii="宋体" w:hAnsi="宋体" w:cs="宋体"/>
                <w:color w:val="000000"/>
                <w:sz w:val="18"/>
                <w:szCs w:val="18"/>
                <w:highlight w:val="none"/>
                <w:lang w:val="en-US" w:eastAsia="zh-CN"/>
              </w:rPr>
              <w:t>数量</w:t>
            </w:r>
            <w:r>
              <w:rPr>
                <w:rFonts w:hint="eastAsia" w:ascii="宋体" w:hAnsi="宋体" w:cs="宋体"/>
                <w:color w:val="000000"/>
                <w:sz w:val="18"/>
                <w:szCs w:val="18"/>
                <w:highlight w:val="none"/>
              </w:rPr>
              <w:t>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rFonts w:hint="default" w:ascii="宋体" w:hAnsi="宋体" w:eastAsia="宋体" w:cs="宋体"/>
                <w:color w:val="000000"/>
                <w:kern w:val="2"/>
                <w:sz w:val="18"/>
                <w:szCs w:val="18"/>
                <w:highlight w:val="none"/>
                <w:lang w:val="en-US" w:eastAsia="zh-CN" w:bidi="ar-SA"/>
              </w:rPr>
            </w:pPr>
            <w:r>
              <w:rPr>
                <w:rFonts w:hint="eastAsia" w:ascii="宋体" w:hAnsi="宋体" w:cs="宋体"/>
                <w:color w:val="000000"/>
                <w:kern w:val="2"/>
                <w:sz w:val="18"/>
                <w:szCs w:val="18"/>
                <w:highlight w:val="none"/>
                <w:lang w:val="en-US" w:eastAsia="zh-CN" w:bidi="ar-SA"/>
              </w:rPr>
              <w:t>支付情况</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none"/>
              </w:rPr>
            </w:pP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none"/>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highlight w:val="green"/>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highlight w:val="green"/>
              </w:rPr>
            </w:pPr>
            <w:r>
              <w:rPr>
                <w:rFonts w:hint="eastAsia" w:ascii="宋体" w:hAnsi="宋体" w:cs="宋体"/>
                <w:color w:val="000000"/>
                <w:kern w:val="0"/>
                <w:sz w:val="24"/>
                <w:highlight w:val="none"/>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rFonts w:hint="eastAsia" w:ascii="宋体" w:hAnsi="宋体" w:cs="宋体"/>
                <w:color w:val="000000"/>
                <w:kern w:val="2"/>
                <w:sz w:val="18"/>
                <w:szCs w:val="18"/>
                <w:highlight w:val="none"/>
                <w:lang w:val="en-US" w:eastAsia="zh-CN" w:bidi="ar-SA"/>
              </w:rPr>
            </w:pPr>
            <w:r>
              <w:rPr>
                <w:rFonts w:hint="eastAsia" w:ascii="宋体" w:hAnsi="宋体" w:cs="宋体"/>
                <w:color w:val="000000"/>
                <w:kern w:val="2"/>
                <w:sz w:val="18"/>
                <w:szCs w:val="18"/>
                <w:highlight w:val="none"/>
                <w:lang w:val="en-US" w:eastAsia="zh-CN" w:bidi="ar-SA"/>
              </w:rPr>
              <w:t>质量指标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rFonts w:hint="default" w:ascii="宋体" w:hAnsi="宋体" w:cs="宋体"/>
                <w:color w:val="000000"/>
                <w:kern w:val="2"/>
                <w:sz w:val="18"/>
                <w:szCs w:val="18"/>
                <w:highlight w:val="none"/>
                <w:lang w:val="en-US" w:eastAsia="zh-CN" w:bidi="ar-SA"/>
              </w:rPr>
            </w:pPr>
            <w:r>
              <w:rPr>
                <w:rFonts w:hint="eastAsia" w:ascii="宋体" w:hAnsi="宋体" w:cs="宋体"/>
                <w:color w:val="000000"/>
                <w:kern w:val="2"/>
                <w:sz w:val="18"/>
                <w:szCs w:val="18"/>
                <w:highlight w:val="none"/>
                <w:lang w:val="zh-CN" w:eastAsia="zh-CN" w:bidi="ar-SA"/>
              </w:rPr>
              <w:t>资金使用</w:t>
            </w:r>
            <w:r>
              <w:rPr>
                <w:rFonts w:hint="eastAsia" w:ascii="宋体" w:hAnsi="宋体" w:cs="宋体"/>
                <w:color w:val="000000"/>
                <w:kern w:val="2"/>
                <w:sz w:val="18"/>
                <w:szCs w:val="18"/>
                <w:highlight w:val="none"/>
                <w:lang w:val="en-US" w:eastAsia="zh-CN" w:bidi="ar-SA"/>
              </w:rPr>
              <w:t>情况</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green"/>
                <w:lang w:eastAsia="zh-CN"/>
              </w:rPr>
            </w:pP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cs="宋体"/>
                <w:color w:val="000000"/>
                <w:sz w:val="18"/>
                <w:szCs w:val="18"/>
                <w:highlight w:val="green"/>
                <w:lang w:eastAsia="zh-CN"/>
              </w:rPr>
            </w:pPr>
          </w:p>
        </w:tc>
      </w:tr>
      <w:tr>
        <w:tblPrEx>
          <w:tblCellMar>
            <w:top w:w="0" w:type="dxa"/>
            <w:left w:w="0" w:type="dxa"/>
            <w:bottom w:w="0" w:type="dxa"/>
            <w:right w:w="0" w:type="dxa"/>
          </w:tblCellMar>
        </w:tblPrEx>
        <w:trPr>
          <w:trHeight w:val="1394" w:hRule="atLeast"/>
          <w:jc w:val="center"/>
        </w:trPr>
        <w:tc>
          <w:tcPr>
            <w:tcW w:w="390" w:type="dxa"/>
            <w:vMerge w:val="restart"/>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highlight w:val="none"/>
                <w:lang w:val="zh-CN" w:eastAsia="zh-CN" w:bidi="ar-SA"/>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highlight w:val="none"/>
                <w:lang w:val="en-US" w:eastAsia="zh-CN"/>
              </w:rPr>
            </w:pPr>
            <w:r>
              <w:rPr>
                <w:rFonts w:hint="eastAsia" w:ascii="宋体" w:hAnsi="宋体" w:cs="宋体"/>
                <w:color w:val="000000"/>
                <w:kern w:val="0"/>
                <w:sz w:val="24"/>
                <w:highlight w:val="none"/>
                <w:lang w:val="zh-CN" w:eastAsia="zh-CN"/>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en-US" w:eastAsia="zh-CN" w:bidi="ar-SA"/>
              </w:rPr>
              <w:t>质量指标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zh-CN" w:eastAsia="zh-CN" w:bidi="ar-SA"/>
              </w:rPr>
              <w:t>财务管理情况</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291"/>
              </w:tabs>
              <w:jc w:val="left"/>
              <w:textAlignment w:val="center"/>
              <w:rPr>
                <w:rFonts w:hint="eastAsia" w:ascii="宋体" w:hAnsi="宋体" w:eastAsia="宋体" w:cs="宋体"/>
                <w:color w:val="000000"/>
                <w:kern w:val="2"/>
                <w:sz w:val="18"/>
                <w:szCs w:val="18"/>
                <w:highlight w:val="none"/>
                <w:lang w:val="zh-CN" w:eastAsia="zh-CN" w:bidi="ar-SA"/>
              </w:rPr>
            </w:pPr>
          </w:p>
        </w:tc>
        <w:tc>
          <w:tcPr>
            <w:tcW w:w="256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tabs>
                <w:tab w:val="left" w:pos="291"/>
              </w:tabs>
              <w:ind w:firstLine="360" w:firstLineChars="200"/>
              <w:jc w:val="left"/>
              <w:textAlignment w:val="center"/>
              <w:rPr>
                <w:rFonts w:hint="eastAsia" w:ascii="宋体" w:hAnsi="宋体" w:eastAsia="宋体" w:cs="宋体"/>
                <w:color w:val="000000"/>
                <w:kern w:val="2"/>
                <w:sz w:val="18"/>
                <w:szCs w:val="18"/>
                <w:highlight w:val="none"/>
                <w:lang w:val="zh-CN" w:eastAsia="zh-CN" w:bidi="ar-SA"/>
              </w:rPr>
            </w:pPr>
            <w:r>
              <w:rPr>
                <w:rFonts w:hint="eastAsia" w:ascii="宋体" w:hAnsi="宋体" w:eastAsia="宋体" w:cs="宋体"/>
                <w:color w:val="000000"/>
                <w:kern w:val="2"/>
                <w:sz w:val="18"/>
                <w:szCs w:val="18"/>
                <w:highlight w:val="none"/>
                <w:lang w:val="zh-CN" w:eastAsia="zh-CN" w:bidi="ar-SA"/>
              </w:rPr>
              <w:t>严格按照“分账核算”，建档立卡大病医疗补充商业保险转入财政专户后，计入“暂收款”；按规定程序进行支付，支出时，冲减暂收款。</w:t>
            </w:r>
          </w:p>
          <w:p>
            <w:pPr>
              <w:widowControl/>
              <w:tabs>
                <w:tab w:val="left" w:pos="291"/>
              </w:tabs>
              <w:ind w:firstLine="360" w:firstLineChars="200"/>
              <w:jc w:val="left"/>
              <w:textAlignment w:val="center"/>
              <w:rPr>
                <w:rFonts w:hint="eastAsia" w:ascii="宋体" w:hAnsi="宋体" w:eastAsia="宋体" w:cs="宋体"/>
                <w:color w:val="000000"/>
                <w:kern w:val="2"/>
                <w:sz w:val="18"/>
                <w:szCs w:val="18"/>
                <w:highlight w:val="none"/>
                <w:lang w:val="zh-CN" w:eastAsia="zh-CN" w:bidi="ar-SA"/>
              </w:rPr>
            </w:pPr>
            <w:r>
              <w:rPr>
                <w:rFonts w:hint="eastAsia" w:ascii="宋体" w:hAnsi="宋体" w:eastAsia="宋体" w:cs="宋体"/>
                <w:color w:val="000000"/>
                <w:kern w:val="2"/>
                <w:sz w:val="18"/>
                <w:szCs w:val="18"/>
                <w:highlight w:val="none"/>
                <w:lang w:val="zh-CN" w:eastAsia="zh-CN" w:bidi="ar-SA"/>
              </w:rPr>
              <w:t>目前，大病补充商业保险，手工结算的由建档立卡贫困人员在人保财险公司报销；辖区内联网结算的实行一单式结算，所产生的大病补充医疗保险由医疗机构与人保财险公司进行结算；异地结算的人员在医院端持卡结算后，由我中心垫付至省医保局，人保财险公司按期转入我中心异地周转金账户。</w:t>
            </w:r>
          </w:p>
          <w:p>
            <w:pPr>
              <w:widowControl/>
              <w:tabs>
                <w:tab w:val="left" w:pos="291"/>
              </w:tabs>
              <w:ind w:firstLine="360" w:firstLineChars="200"/>
              <w:jc w:val="left"/>
              <w:textAlignment w:val="center"/>
              <w:rPr>
                <w:rFonts w:hint="eastAsia" w:ascii="宋体" w:hAnsi="宋体" w:eastAsia="宋体" w:cs="宋体"/>
                <w:color w:val="000000"/>
                <w:kern w:val="2"/>
                <w:sz w:val="18"/>
                <w:szCs w:val="18"/>
                <w:highlight w:val="none"/>
                <w:lang w:val="zh-CN" w:eastAsia="zh-CN" w:bidi="ar-SA"/>
              </w:rPr>
            </w:pPr>
            <w:r>
              <w:rPr>
                <w:rFonts w:hint="eastAsia" w:ascii="宋体" w:hAnsi="宋体" w:eastAsia="宋体" w:cs="宋体"/>
                <w:color w:val="000000"/>
                <w:kern w:val="2"/>
                <w:sz w:val="18"/>
                <w:szCs w:val="18"/>
                <w:highlight w:val="none"/>
                <w:lang w:val="zh-CN" w:eastAsia="zh-CN" w:bidi="ar-SA"/>
              </w:rPr>
              <w:t>2019年我中心分三次共向人保财险公司支付城乡居民建档立卡贫困人员保费1399.18万元，其中包含州级财政配套资金629万元、县级上解财政配套资金及个人缴费资金770.18万元。</w:t>
            </w:r>
          </w:p>
          <w:p>
            <w:pPr>
              <w:pStyle w:val="2"/>
              <w:rPr>
                <w:rFonts w:hint="eastAsia" w:ascii="宋体" w:hAnsi="宋体" w:eastAsia="宋体" w:cs="宋体"/>
                <w:color w:val="000000"/>
                <w:kern w:val="2"/>
                <w:sz w:val="18"/>
                <w:szCs w:val="18"/>
                <w:highlight w:val="none"/>
                <w:lang w:val="zh-CN" w:eastAsia="zh-CN" w:bidi="ar-SA"/>
              </w:rPr>
            </w:pPr>
            <w:r>
              <w:rPr>
                <w:rFonts w:hint="eastAsia" w:ascii="宋体" w:hAnsi="宋体" w:eastAsia="宋体" w:cs="宋体"/>
                <w:color w:val="000000"/>
                <w:kern w:val="2"/>
                <w:sz w:val="18"/>
                <w:szCs w:val="18"/>
                <w:highlight w:val="none"/>
                <w:lang w:val="zh-CN" w:eastAsia="zh-CN" w:bidi="ar-SA"/>
              </w:rPr>
              <w:t>保障了城乡居民待遇，提升了贫困人口幸福感和获得感。得到了参保人员的理解和支持</w:t>
            </w:r>
          </w:p>
          <w:p>
            <w:pPr>
              <w:widowControl/>
              <w:tabs>
                <w:tab w:val="left" w:pos="291"/>
              </w:tabs>
              <w:jc w:val="left"/>
              <w:textAlignment w:val="center"/>
              <w:rPr>
                <w:rFonts w:hint="eastAsia" w:ascii="宋体" w:hAnsi="宋体" w:eastAsia="宋体" w:cs="宋体"/>
                <w:color w:val="000000"/>
                <w:kern w:val="2"/>
                <w:sz w:val="18"/>
                <w:szCs w:val="18"/>
                <w:highlight w:val="none"/>
                <w:lang w:val="en-US" w:eastAsia="zh-CN" w:bidi="ar-SA"/>
              </w:rPr>
            </w:pPr>
          </w:p>
        </w:tc>
      </w:tr>
      <w:tr>
        <w:tblPrEx>
          <w:tblCellMar>
            <w:top w:w="0" w:type="dxa"/>
            <w:left w:w="0" w:type="dxa"/>
            <w:bottom w:w="0" w:type="dxa"/>
            <w:right w:w="0" w:type="dxa"/>
          </w:tblCellMar>
        </w:tblPrEx>
        <w:trPr>
          <w:trHeight w:val="236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highlight w:val="none"/>
                <w:lang w:val="zh-CN" w:eastAsia="zh-CN" w:bidi="ar-SA"/>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color w:val="000000"/>
                <w:kern w:val="0"/>
                <w:sz w:val="24"/>
                <w:highlight w:val="none"/>
                <w:lang w:val="zh-CN" w:eastAsia="zh-CN"/>
              </w:rPr>
            </w:pPr>
            <w:r>
              <w:rPr>
                <w:rFonts w:hint="eastAsia" w:ascii="宋体" w:hAnsi="宋体" w:cs="宋体"/>
                <w:color w:val="000000"/>
                <w:kern w:val="0"/>
                <w:sz w:val="24"/>
                <w:highlight w:val="none"/>
                <w:lang w:val="zh-CN" w:eastAsia="zh-CN"/>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highlight w:val="none"/>
                <w:lang w:val="zh-CN" w:eastAsia="zh-CN" w:bidi="ar-SA"/>
              </w:rPr>
            </w:pPr>
            <w:r>
              <w:rPr>
                <w:rFonts w:hint="eastAsia" w:ascii="宋体" w:hAnsi="宋体" w:eastAsia="宋体" w:cs="宋体"/>
                <w:color w:val="000000"/>
                <w:kern w:val="2"/>
                <w:sz w:val="18"/>
                <w:szCs w:val="18"/>
                <w:highlight w:val="none"/>
                <w:lang w:val="en-US" w:eastAsia="zh-CN" w:bidi="ar-SA"/>
              </w:rPr>
              <w:t>质量指标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zh-CN" w:eastAsia="zh-CN" w:bidi="ar-SA"/>
              </w:rPr>
              <w:t>组织实施情况</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highlight w:val="none"/>
                <w:lang w:val="zh-CN" w:eastAsia="zh-CN" w:bidi="ar-SA"/>
              </w:rPr>
            </w:pP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highlight w:val="none"/>
                <w:lang w:val="zh-CN" w:eastAsia="zh-CN" w:bidi="ar-SA"/>
              </w:rPr>
            </w:pPr>
          </w:p>
        </w:tc>
      </w:tr>
      <w:tr>
        <w:tblPrEx>
          <w:tblCellMar>
            <w:top w:w="0" w:type="dxa"/>
            <w:left w:w="0" w:type="dxa"/>
            <w:bottom w:w="0" w:type="dxa"/>
            <w:right w:w="0" w:type="dxa"/>
          </w:tblCellMar>
        </w:tblPrEx>
        <w:trPr>
          <w:trHeight w:val="245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highlight w:val="none"/>
                <w:lang w:val="zh-CN" w:eastAsia="zh-CN" w:bidi="ar-SA"/>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highlight w:val="none"/>
                <w:lang w:val="zh-CN" w:eastAsia="zh-CN" w:bidi="ar-SA"/>
              </w:rPr>
            </w:pPr>
            <w:r>
              <w:rPr>
                <w:rFonts w:hint="eastAsia" w:ascii="宋体" w:hAnsi="宋体" w:cs="宋体"/>
                <w:color w:val="000000"/>
                <w:kern w:val="0"/>
                <w:sz w:val="24"/>
                <w:highlight w:val="none"/>
                <w:lang w:val="zh-CN" w:eastAsia="zh-CN"/>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highlight w:val="none"/>
                <w:lang w:val="zh-CN" w:eastAsia="zh-CN" w:bidi="ar-SA"/>
              </w:rPr>
            </w:pPr>
            <w:r>
              <w:rPr>
                <w:rFonts w:hint="eastAsia" w:ascii="宋体" w:hAnsi="宋体" w:eastAsia="宋体" w:cs="宋体"/>
                <w:color w:val="000000"/>
                <w:kern w:val="2"/>
                <w:sz w:val="18"/>
                <w:szCs w:val="18"/>
                <w:highlight w:val="none"/>
                <w:lang w:val="en-US" w:eastAsia="zh-CN" w:bidi="ar-SA"/>
              </w:rPr>
              <w:t>质量指标</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highlight w:val="none"/>
                <w:lang w:val="zh-CN" w:eastAsia="zh-CN" w:bidi="ar-SA"/>
              </w:rPr>
            </w:pPr>
            <w:r>
              <w:rPr>
                <w:rFonts w:hint="eastAsia" w:ascii="宋体" w:hAnsi="宋体" w:eastAsia="宋体" w:cs="宋体"/>
                <w:color w:val="000000"/>
                <w:kern w:val="2"/>
                <w:sz w:val="18"/>
                <w:szCs w:val="18"/>
                <w:highlight w:val="none"/>
                <w:lang w:val="zh-CN" w:eastAsia="zh-CN" w:bidi="ar-SA"/>
              </w:rPr>
              <w:t>完成情况</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highlight w:val="none"/>
                <w:lang w:val="zh-CN" w:eastAsia="zh-CN" w:bidi="ar-SA"/>
              </w:rPr>
            </w:pP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highlight w:val="none"/>
                <w:lang w:val="zh-CN" w:eastAsia="zh-CN" w:bidi="ar-SA"/>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highlight w:val="none"/>
                <w:lang w:val="zh-CN" w:eastAsia="zh-CN" w:bidi="ar-SA"/>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zh-CN" w:eastAsia="zh-CN" w:bidi="ar-SA"/>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highlight w:val="none"/>
                <w:lang w:val="en-US" w:eastAsia="zh-CN" w:bidi="ar-SA"/>
              </w:rPr>
            </w:pPr>
            <w:r>
              <w:rPr>
                <w:rFonts w:hint="eastAsia" w:ascii="宋体" w:hAnsi="宋体" w:eastAsia="宋体" w:cs="宋体"/>
                <w:color w:val="000000"/>
                <w:kern w:val="2"/>
                <w:sz w:val="18"/>
                <w:szCs w:val="18"/>
                <w:highlight w:val="none"/>
                <w:lang w:val="zh-CN" w:eastAsia="zh-CN" w:bidi="ar-SA"/>
              </w:rPr>
              <w:t>服务对象满意度</w:t>
            </w:r>
          </w:p>
        </w:tc>
        <w:tc>
          <w:tcPr>
            <w:tcW w:w="24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highlight w:val="none"/>
                <w:lang w:val="zh-CN" w:eastAsia="zh-CN" w:bidi="ar-SA"/>
              </w:rPr>
            </w:pPr>
            <w:r>
              <w:rPr>
                <w:rFonts w:hint="eastAsia" w:ascii="宋体" w:hAnsi="宋体" w:eastAsia="宋体" w:cs="宋体"/>
                <w:color w:val="000000"/>
                <w:kern w:val="2"/>
                <w:sz w:val="18"/>
                <w:szCs w:val="18"/>
                <w:highlight w:val="none"/>
                <w:lang w:val="zh-CN" w:eastAsia="zh-CN" w:bidi="ar-SA"/>
              </w:rPr>
              <w:t>参保人员对医保服务满意度</w:t>
            </w:r>
          </w:p>
        </w:tc>
        <w:tc>
          <w:tcPr>
            <w:tcW w:w="234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highlight w:val="none"/>
                <w:lang w:val="zh-CN" w:eastAsia="zh-CN" w:bidi="ar-SA"/>
              </w:rPr>
            </w:pPr>
          </w:p>
        </w:tc>
        <w:tc>
          <w:tcPr>
            <w:tcW w:w="2565"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hint="eastAsia" w:ascii="宋体" w:hAnsi="宋体" w:eastAsia="宋体" w:cs="宋体"/>
                <w:color w:val="000000"/>
                <w:kern w:val="2"/>
                <w:sz w:val="18"/>
                <w:szCs w:val="18"/>
                <w:highlight w:val="none"/>
                <w:lang w:val="zh-CN" w:eastAsia="zh-CN" w:bidi="ar-SA"/>
              </w:rPr>
            </w:pPr>
          </w:p>
        </w:tc>
      </w:tr>
    </w:tbl>
    <w:p>
      <w:pPr>
        <w:pStyle w:val="2"/>
        <w:ind w:left="0" w:leftChars="0" w:firstLine="0" w:firstLineChars="0"/>
        <w:rPr>
          <w:rFonts w:hint="eastAsia" w:ascii="楷体_GB2312" w:hAnsi="楷体_GB2312" w:eastAsia="楷体_GB2312" w:cs="楷体_GB2312"/>
          <w:sz w:val="32"/>
          <w:szCs w:val="32"/>
          <w:highlight w:val="green"/>
        </w:rPr>
      </w:pPr>
    </w:p>
    <w:p>
      <w:pPr>
        <w:spacing w:line="580" w:lineRule="exact"/>
        <w:ind w:left="630"/>
        <w:rPr>
          <w:rFonts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2.部门绩效评价结果。</w:t>
      </w: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本部门按要求对2019年部门整体支出绩效评价情况开展自评，《</w:t>
      </w:r>
      <w:r>
        <w:rPr>
          <w:rFonts w:hint="eastAsia" w:ascii="仿宋_GB2312" w:hAnsi="仿宋_GB2312" w:eastAsia="仿宋_GB2312" w:cs="仿宋_GB2312"/>
          <w:sz w:val="32"/>
          <w:szCs w:val="32"/>
          <w:highlight w:val="none"/>
          <w:lang w:val="en-US" w:eastAsia="zh-CN"/>
        </w:rPr>
        <w:t>阿坝州医疗保障事务中心</w:t>
      </w:r>
      <w:r>
        <w:rPr>
          <w:rFonts w:hint="eastAsia" w:ascii="仿宋_GB2312" w:hAnsi="仿宋_GB2312" w:eastAsia="仿宋_GB2312" w:cs="仿宋_GB2312"/>
          <w:sz w:val="32"/>
          <w:szCs w:val="32"/>
          <w:highlight w:val="none"/>
        </w:rPr>
        <w:t>2019年部门整体支出绩效评价报告》见附件（附件1）。</w:t>
      </w:r>
    </w:p>
    <w:p>
      <w:pPr>
        <w:widowControl/>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本部门自行组织对</w:t>
      </w:r>
      <w:r>
        <w:rPr>
          <w:rFonts w:hint="eastAsia" w:ascii="仿宋_GB2312" w:hAnsi="仿宋_GB2312" w:eastAsia="仿宋_GB2312" w:cs="仿宋_GB2312"/>
          <w:sz w:val="32"/>
          <w:szCs w:val="32"/>
          <w:highlight w:val="none"/>
          <w:lang w:val="en-US" w:eastAsia="zh-CN"/>
        </w:rPr>
        <w:t>2019年专项扶贫资金-建档立卡贫困人口大病补充商业保险项目绩效自评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自评报告</w:t>
      </w:r>
      <w:r>
        <w:rPr>
          <w:rFonts w:hint="eastAsia" w:ascii="仿宋_GB2312" w:hAnsi="仿宋_GB2312" w:eastAsia="仿宋_GB2312" w:cs="仿宋_GB2312"/>
          <w:sz w:val="32"/>
          <w:szCs w:val="32"/>
          <w:highlight w:val="none"/>
        </w:rPr>
        <w:t>见附件（附件2）。</w:t>
      </w:r>
    </w:p>
    <w:p>
      <w:pPr>
        <w:numPr>
          <w:ilvl w:val="0"/>
          <w:numId w:val="6"/>
        </w:numPr>
        <w:spacing w:line="600" w:lineRule="exact"/>
        <w:ind w:firstLine="660" w:firstLineChars="150"/>
        <w:jc w:val="center"/>
        <w:outlineLvl w:val="0"/>
        <w:rPr>
          <w:rStyle w:val="16"/>
          <w:rFonts w:ascii="黑体" w:hAnsi="黑体" w:eastAsia="黑体"/>
          <w:b w:val="0"/>
        </w:rPr>
      </w:pPr>
      <w:bookmarkStart w:id="55" w:name="_Toc15377225"/>
      <w:bookmarkStart w:id="56" w:name="_Toc15396613"/>
      <w:bookmarkStart w:id="57" w:name="_Toc15396614"/>
      <w:bookmarkStart w:id="58" w:name="_Toc15377226"/>
      <w:r>
        <w:rPr>
          <w:rFonts w:hint="eastAsia" w:ascii="黑体" w:hAnsi="黑体" w:eastAsia="黑体"/>
          <w:color w:val="000000"/>
          <w:sz w:val="44"/>
          <w:szCs w:val="44"/>
        </w:rPr>
        <w:t>名</w:t>
      </w:r>
      <w:r>
        <w:rPr>
          <w:rStyle w:val="16"/>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19"/>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19"/>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19"/>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w:t>
      </w:r>
      <w:r>
        <w:rPr>
          <w:rFonts w:hint="eastAsia" w:ascii="仿宋_GB2312" w:eastAsia="仿宋_GB2312"/>
          <w:color w:val="000000"/>
          <w:sz w:val="32"/>
          <w:szCs w:val="32"/>
          <w:lang w:val="en-US" w:eastAsia="zh-CN"/>
        </w:rPr>
        <w:t>210</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医疗保障管理事务</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15</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行政运行</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）：指</w:t>
      </w:r>
      <w:r>
        <w:rPr>
          <w:rFonts w:hint="eastAsia" w:ascii="仿宋_GB2312" w:eastAsia="仿宋_GB2312"/>
          <w:color w:val="000000"/>
          <w:sz w:val="32"/>
          <w:szCs w:val="32"/>
          <w:lang w:val="en-US" w:eastAsia="zh-CN"/>
        </w:rPr>
        <w:t>行政单位（包括实行公务员管理的事业单位）的基本支出；一般行政管理事务（项02）：指行政单位（包括实行公务员管理的事业单位）未单独设置项级科目的其他项目支出</w:t>
      </w:r>
      <w:r>
        <w:rPr>
          <w:rFonts w:hint="eastAsia" w:ascii="仿宋_GB2312" w:eastAsia="仿宋_GB2312"/>
          <w:color w:val="000000"/>
          <w:sz w:val="32"/>
          <w:szCs w:val="32"/>
        </w:rPr>
        <w:t>。</w:t>
      </w:r>
    </w:p>
    <w:p>
      <w:pPr>
        <w:pStyle w:val="2"/>
        <w:rPr>
          <w:rFonts w:hint="default" w:eastAsia="仿宋_GB2312"/>
          <w:lang w:val="en-US" w:eastAsia="zh-CN"/>
        </w:rPr>
      </w:pP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医疗卫生与计划生育（类</w:t>
      </w:r>
      <w:r>
        <w:rPr>
          <w:rFonts w:hint="eastAsia" w:ascii="仿宋_GB2312" w:eastAsia="仿宋_GB2312"/>
          <w:color w:val="000000"/>
          <w:sz w:val="32"/>
          <w:szCs w:val="32"/>
          <w:lang w:val="en-US" w:eastAsia="zh-CN"/>
        </w:rPr>
        <w:t>210</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医疗保障管理事务</w:t>
      </w:r>
      <w:r>
        <w:rPr>
          <w:rFonts w:hint="eastAsia" w:ascii="仿宋_GB2312" w:eastAsia="仿宋_GB2312"/>
          <w:color w:val="000000"/>
          <w:sz w:val="32"/>
          <w:szCs w:val="32"/>
        </w:rPr>
        <w:t>（款</w:t>
      </w:r>
      <w:r>
        <w:rPr>
          <w:rFonts w:hint="eastAsia" w:ascii="仿宋_GB2312" w:eastAsia="仿宋_GB2312"/>
          <w:color w:val="000000"/>
          <w:sz w:val="32"/>
          <w:szCs w:val="32"/>
          <w:lang w:val="en-US" w:eastAsia="zh-CN"/>
        </w:rPr>
        <w:t>99</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其他卫生健康支出</w:t>
      </w:r>
      <w:r>
        <w:rPr>
          <w:rFonts w:hint="eastAsia" w:ascii="仿宋_GB2312" w:eastAsia="仿宋_GB2312"/>
          <w:color w:val="000000"/>
          <w:sz w:val="32"/>
          <w:szCs w:val="32"/>
        </w:rPr>
        <w:t>（项</w:t>
      </w:r>
      <w:r>
        <w:rPr>
          <w:rFonts w:hint="eastAsia" w:ascii="仿宋_GB2312" w:eastAsia="仿宋_GB2312"/>
          <w:color w:val="000000"/>
          <w:sz w:val="32"/>
          <w:szCs w:val="32"/>
          <w:lang w:val="en-US" w:eastAsia="zh-CN"/>
        </w:rPr>
        <w:t>01</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指除行政运行、一般行政事务管理、机关服务、信息化建设、医疗保障政策管理、医疗保障经办事务、事业运行、其他医疗保障管理事务以外的其他用于医疗保障管理事务方面的支出。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18</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19</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20</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9"/>
        <w:spacing w:line="560" w:lineRule="exact"/>
        <w:ind w:firstLine="640" w:firstLineChars="200"/>
        <w:rPr>
          <w:rFonts w:ascii="仿宋_GB2312" w:eastAsia="仿宋_GB2312" w:cs="黑体"/>
          <w:sz w:val="32"/>
          <w:szCs w:val="32"/>
        </w:rPr>
      </w:pPr>
    </w:p>
    <w:p>
      <w:pPr>
        <w:spacing w:line="600" w:lineRule="exact"/>
        <w:jc w:val="center"/>
        <w:outlineLvl w:val="0"/>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pStyle w:val="2"/>
        <w:rPr>
          <w:rFonts w:hint="eastAsia" w:ascii="黑体" w:hAnsi="黑体" w:eastAsia="黑体"/>
          <w:color w:val="000000"/>
          <w:sz w:val="44"/>
          <w:szCs w:val="44"/>
          <w:highlight w:val="green"/>
        </w:rPr>
      </w:pPr>
    </w:p>
    <w:p>
      <w:pPr>
        <w:spacing w:line="600" w:lineRule="exact"/>
        <w:jc w:val="center"/>
        <w:outlineLvl w:val="0"/>
        <w:rPr>
          <w:rStyle w:val="16"/>
          <w:rFonts w:ascii="黑体" w:hAnsi="黑体" w:eastAsia="黑体"/>
          <w:b w:val="0"/>
          <w:highlight w:val="none"/>
        </w:rPr>
      </w:pPr>
      <w:r>
        <w:rPr>
          <w:rFonts w:hint="eastAsia" w:ascii="黑体" w:hAnsi="黑体" w:eastAsia="黑体"/>
          <w:color w:val="000000"/>
          <w:sz w:val="44"/>
          <w:szCs w:val="44"/>
          <w:highlight w:val="none"/>
        </w:rPr>
        <w:t>第</w:t>
      </w:r>
      <w:r>
        <w:rPr>
          <w:rStyle w:val="16"/>
          <w:rFonts w:hint="eastAsia" w:ascii="黑体" w:hAnsi="黑体" w:eastAsia="黑体"/>
          <w:b w:val="0"/>
          <w:highlight w:val="none"/>
        </w:rPr>
        <w:t>四部分 附件</w:t>
      </w:r>
      <w:bookmarkEnd w:id="57"/>
    </w:p>
    <w:p>
      <w:pPr>
        <w:spacing w:line="600" w:lineRule="exact"/>
        <w:jc w:val="left"/>
        <w:outlineLvl w:val="0"/>
        <w:rPr>
          <w:rFonts w:hint="eastAsia" w:ascii="黑体" w:hAnsi="黑体" w:eastAsia="黑体" w:cs="黑体"/>
          <w:sz w:val="32"/>
          <w:szCs w:val="32"/>
          <w:highlight w:val="none"/>
        </w:rPr>
      </w:pPr>
      <w:r>
        <w:rPr>
          <w:rFonts w:hint="eastAsia" w:ascii="黑体" w:hAnsi="黑体" w:eastAsia="黑体" w:cs="黑体"/>
          <w:sz w:val="32"/>
          <w:szCs w:val="32"/>
          <w:highlight w:val="none"/>
        </w:rPr>
        <w:t>附件1</w:t>
      </w:r>
    </w:p>
    <w:p>
      <w:pPr>
        <w:keepNext w:val="0"/>
        <w:keepLines w:val="0"/>
        <w:pageBreakBefore w:val="0"/>
        <w:widowControl/>
        <w:kinsoku/>
        <w:wordWrap/>
        <w:overflowPunct/>
        <w:topLinePunct w:val="0"/>
        <w:autoSpaceDE/>
        <w:autoSpaceDN/>
        <w:bidi w:val="0"/>
        <w:spacing w:line="560" w:lineRule="exact"/>
        <w:ind w:left="0" w:leftChars="0" w:firstLine="1"/>
        <w:jc w:val="center"/>
        <w:textAlignment w:val="auto"/>
        <w:rPr>
          <w:rFonts w:hint="eastAsia" w:ascii="方正小标宋简体" w:hAnsi="方正小标宋简体" w:eastAsia="方正小标宋简体" w:cs="方正小标宋简体"/>
          <w:bCs/>
          <w:sz w:val="44"/>
          <w:szCs w:val="44"/>
          <w:highlight w:val="green"/>
          <w:shd w:val="clear" w:color="auto" w:fill="FFFFFF"/>
        </w:rPr>
      </w:pPr>
    </w:p>
    <w:p>
      <w:pPr>
        <w:keepNext w:val="0"/>
        <w:keepLines w:val="0"/>
        <w:pageBreakBefore w:val="0"/>
        <w:widowControl/>
        <w:kinsoku/>
        <w:wordWrap/>
        <w:overflowPunct/>
        <w:topLinePunct w:val="0"/>
        <w:autoSpaceDE/>
        <w:autoSpaceDN/>
        <w:bidi w:val="0"/>
        <w:spacing w:line="560" w:lineRule="exact"/>
        <w:ind w:left="0" w:leftChars="0" w:firstLine="1"/>
        <w:jc w:val="center"/>
        <w:textAlignment w:val="auto"/>
        <w:rPr>
          <w:rFonts w:hint="default" w:ascii="方正小标宋简体" w:hAnsi="方正小标宋简体" w:eastAsia="方正小标宋简体" w:cs="方正小标宋简体"/>
          <w:bCs/>
          <w:sz w:val="44"/>
          <w:szCs w:val="44"/>
          <w:highlight w:val="none"/>
          <w:shd w:val="clear" w:color="auto" w:fill="FFFFFF"/>
          <w:lang w:val="en-US" w:eastAsia="zh-CN"/>
        </w:rPr>
      </w:pPr>
      <w:r>
        <w:rPr>
          <w:rFonts w:hint="eastAsia" w:ascii="方正小标宋简体" w:hAnsi="方正小标宋简体" w:eastAsia="方正小标宋简体" w:cs="方正小标宋简体"/>
          <w:bCs/>
          <w:sz w:val="44"/>
          <w:szCs w:val="44"/>
          <w:highlight w:val="none"/>
          <w:shd w:val="clear" w:color="auto" w:fill="FFFFFF"/>
        </w:rPr>
        <w:t>阿坝州医疗保</w:t>
      </w:r>
      <w:r>
        <w:rPr>
          <w:rFonts w:hint="eastAsia" w:ascii="方正小标宋简体" w:hAnsi="方正小标宋简体" w:eastAsia="方正小标宋简体" w:cs="方正小标宋简体"/>
          <w:bCs/>
          <w:sz w:val="44"/>
          <w:szCs w:val="44"/>
          <w:highlight w:val="none"/>
          <w:shd w:val="clear" w:color="auto" w:fill="FFFFFF"/>
          <w:lang w:val="en-US" w:eastAsia="zh-CN"/>
        </w:rPr>
        <w:t>障事务中心</w:t>
      </w:r>
    </w:p>
    <w:p>
      <w:pPr>
        <w:keepNext w:val="0"/>
        <w:keepLines w:val="0"/>
        <w:pageBreakBefore w:val="0"/>
        <w:kinsoku/>
        <w:wordWrap/>
        <w:overflowPunct/>
        <w:topLinePunct w:val="0"/>
        <w:autoSpaceDE/>
        <w:autoSpaceDN/>
        <w:bidi w:val="0"/>
        <w:spacing w:line="560" w:lineRule="exact"/>
        <w:ind w:left="0" w:leftChars="0"/>
        <w:jc w:val="center"/>
        <w:textAlignment w:val="auto"/>
        <w:rPr>
          <w:rFonts w:hint="eastAsia" w:ascii="方正小标宋简体" w:hAnsi="方正小标宋简体" w:eastAsia="方正小标宋简体" w:cs="方正小标宋简体"/>
          <w:bCs/>
          <w:sz w:val="44"/>
          <w:szCs w:val="44"/>
          <w:highlight w:val="none"/>
          <w:shd w:val="clear" w:color="auto" w:fill="FFFFFF"/>
        </w:rPr>
      </w:pPr>
      <w:r>
        <w:rPr>
          <w:rFonts w:hint="eastAsia" w:ascii="方正小标宋简体" w:hAnsi="方正小标宋简体" w:eastAsia="方正小标宋简体" w:cs="方正小标宋简体"/>
          <w:bCs/>
          <w:sz w:val="44"/>
          <w:szCs w:val="44"/>
          <w:highlight w:val="none"/>
          <w:shd w:val="clear" w:color="auto" w:fill="FFFFFF"/>
        </w:rPr>
        <w:t>20</w:t>
      </w:r>
      <w:r>
        <w:rPr>
          <w:rFonts w:hint="eastAsia" w:ascii="方正小标宋简体" w:hAnsi="方正小标宋简体" w:eastAsia="方正小标宋简体" w:cs="方正小标宋简体"/>
          <w:bCs/>
          <w:sz w:val="44"/>
          <w:szCs w:val="44"/>
          <w:highlight w:val="none"/>
          <w:shd w:val="clear" w:color="auto" w:fill="FFFFFF"/>
          <w:lang w:val="en-US" w:eastAsia="zh-CN"/>
        </w:rPr>
        <w:t>19</w:t>
      </w:r>
      <w:r>
        <w:rPr>
          <w:rFonts w:hint="eastAsia" w:ascii="方正小标宋简体" w:hAnsi="方正小标宋简体" w:eastAsia="方正小标宋简体" w:cs="方正小标宋简体"/>
          <w:bCs/>
          <w:sz w:val="44"/>
          <w:szCs w:val="44"/>
          <w:highlight w:val="none"/>
          <w:shd w:val="clear" w:color="auto" w:fill="FFFFFF"/>
        </w:rPr>
        <w:t>年部门整体支出绩效报告</w:t>
      </w:r>
    </w:p>
    <w:p>
      <w:pPr>
        <w:pStyle w:val="2"/>
        <w:rPr>
          <w:highlight w:val="none"/>
        </w:rPr>
      </w:pPr>
    </w:p>
    <w:p>
      <w:pPr>
        <w:widowControl/>
        <w:adjustRightInd w:val="0"/>
        <w:snapToGrid w:val="0"/>
        <w:spacing w:line="580" w:lineRule="exact"/>
        <w:ind w:left="0" w:leftChars="0" w:firstLine="640" w:firstLineChars="200"/>
        <w:contextualSpacing/>
        <w:jc w:val="left"/>
        <w:rPr>
          <w:rFonts w:hint="eastAsia" w:ascii="黑体" w:hAnsi="宋体" w:eastAsia="黑体" w:cs="宋体"/>
          <w:color w:val="000000"/>
          <w:kern w:val="0"/>
          <w:sz w:val="32"/>
          <w:szCs w:val="32"/>
          <w:highlight w:val="none"/>
          <w:shd w:val="clear" w:color="auto" w:fill="FFFFFF"/>
          <w:lang w:val="zh-CN"/>
        </w:rPr>
      </w:pPr>
      <w:r>
        <w:rPr>
          <w:rFonts w:hint="eastAsia" w:ascii="黑体" w:hAnsi="宋体" w:eastAsia="黑体" w:cs="宋体"/>
          <w:color w:val="000000"/>
          <w:kern w:val="0"/>
          <w:sz w:val="32"/>
          <w:szCs w:val="32"/>
          <w:highlight w:val="none"/>
          <w:shd w:val="clear" w:color="auto" w:fill="FFFFFF"/>
          <w:lang w:val="en-US" w:eastAsia="zh-CN"/>
        </w:rPr>
        <w:t>一、</w:t>
      </w:r>
      <w:r>
        <w:rPr>
          <w:rFonts w:hint="eastAsia" w:ascii="黑体" w:hAnsi="宋体" w:eastAsia="黑体" w:cs="宋体"/>
          <w:color w:val="000000"/>
          <w:kern w:val="0"/>
          <w:sz w:val="32"/>
          <w:szCs w:val="32"/>
          <w:highlight w:val="none"/>
          <w:shd w:val="clear" w:color="auto" w:fill="FFFFFF"/>
          <w:lang w:val="zh-CN"/>
        </w:rPr>
        <w:t>部门（单位）概况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_GB2312" w:eastAsia="仿宋_GB2312" w:cs="仿宋_GB2312"/>
          <w:b w:val="0"/>
          <w:bCs w:val="0"/>
          <w:color w:val="000000"/>
          <w:kern w:val="0"/>
          <w:sz w:val="32"/>
          <w:szCs w:val="32"/>
          <w:highlight w:val="none"/>
          <w:lang w:val="zh-CN"/>
        </w:rPr>
      </w:pPr>
      <w:r>
        <w:rPr>
          <w:rFonts w:hint="eastAsia" w:ascii="仿宋_GB2312" w:hAnsi="仿宋_GB2312" w:eastAsia="仿宋_GB2312" w:cs="仿宋_GB2312"/>
          <w:b w:val="0"/>
          <w:bCs w:val="0"/>
          <w:color w:val="000000"/>
          <w:kern w:val="0"/>
          <w:sz w:val="32"/>
          <w:szCs w:val="32"/>
          <w:highlight w:val="none"/>
          <w:lang w:val="zh-CN"/>
        </w:rPr>
        <w:t>（一）机构组成。</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仿宋" w:eastAsia="仿宋_GB2312"/>
          <w:sz w:val="32"/>
          <w:szCs w:val="32"/>
        </w:rPr>
      </w:pPr>
      <w:r>
        <w:rPr>
          <w:rFonts w:hint="eastAsia" w:ascii="仿宋_GB2312" w:hAnsi="仿宋" w:eastAsia="仿宋_GB2312"/>
          <w:sz w:val="32"/>
          <w:szCs w:val="32"/>
        </w:rPr>
        <w:t xml:space="preserve">阿坝州医疗保障事务中心属阿坝州医疗保障局下设参公事业单位，内设办公室、统筹科、审核计算科、异地就医结算科、城乡居民与生育保险科、基金管理科、医药服务科、审计稽核科、统计分析科。  </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highlight w:val="none"/>
          <w:lang w:val="zh-CN" w:eastAsia="zh-CN"/>
        </w:rPr>
      </w:pPr>
      <w:r>
        <w:rPr>
          <w:rFonts w:hint="eastAsia" w:ascii="仿宋_GB2312" w:eastAsia="仿宋_GB2312"/>
          <w:sz w:val="32"/>
          <w:szCs w:val="32"/>
          <w:highlight w:val="none"/>
          <w:lang w:val="zh-CN" w:eastAsia="zh-CN"/>
        </w:rPr>
        <w:t>（</w:t>
      </w:r>
      <w:r>
        <w:rPr>
          <w:rFonts w:hint="eastAsia" w:ascii="仿宋_GB2312" w:eastAsia="仿宋_GB2312"/>
          <w:sz w:val="32"/>
          <w:szCs w:val="32"/>
          <w:highlight w:val="none"/>
          <w:lang w:val="en-US" w:eastAsia="zh-CN"/>
        </w:rPr>
        <w:t>二</w:t>
      </w:r>
      <w:r>
        <w:rPr>
          <w:rFonts w:hint="eastAsia" w:ascii="仿宋_GB2312" w:eastAsia="仿宋_GB2312"/>
          <w:sz w:val="32"/>
          <w:szCs w:val="32"/>
          <w:highlight w:val="none"/>
          <w:lang w:val="zh-CN" w:eastAsia="zh-CN"/>
        </w:rPr>
        <w:t>）机构职能。</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负责州本级基本医疗（生育）保险全民参保登记、关系转移接续、个人权益记录及缴费情况稽核工作；负责州本级参保人员门特病种认定、医疗保险（生育）保险待遇审核及支付工作；负责州本级职工基本医疗保险、大病医疗保险及补充医疗保险基金的筹集、使用和管理；负责全州申请纳入协议管理医药机构的现场评估以及协议管理医药机构的监管、医疗费用的稽查工作；负责全州医保扶贫、医疗救助、疾病应急救助基金使用的指导、监督和管理工作；负责全州基本医疗保险（生育保险）的经办指导工作。</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zh-CN" w:eastAsia="zh-CN"/>
        </w:rPr>
        <w:t>（</w:t>
      </w:r>
      <w:r>
        <w:rPr>
          <w:rFonts w:hint="eastAsia" w:ascii="仿宋_GB2312" w:eastAsia="仿宋_GB2312"/>
          <w:sz w:val="32"/>
          <w:szCs w:val="32"/>
          <w:highlight w:val="none"/>
          <w:lang w:val="en-US" w:eastAsia="zh-CN"/>
        </w:rPr>
        <w:t>三</w:t>
      </w:r>
      <w:r>
        <w:rPr>
          <w:rFonts w:hint="eastAsia" w:ascii="仿宋_GB2312" w:eastAsia="仿宋_GB2312"/>
          <w:sz w:val="32"/>
          <w:szCs w:val="32"/>
          <w:highlight w:val="none"/>
          <w:lang w:val="zh-CN" w:eastAsia="zh-CN"/>
        </w:rPr>
        <w:t>）人员概况。</w:t>
      </w:r>
    </w:p>
    <w:p>
      <w:pPr>
        <w:snapToGrid w:val="0"/>
        <w:spacing w:line="520" w:lineRule="exact"/>
        <w:ind w:firstLine="640" w:firstLineChars="200"/>
        <w:rPr>
          <w:rFonts w:hint="eastAsia" w:ascii="仿宋_GB2312" w:eastAsia="仿宋_GB2312"/>
          <w:sz w:val="32"/>
          <w:szCs w:val="32"/>
          <w:highlight w:val="green"/>
          <w:lang w:val="en-US" w:eastAsia="zh-CN"/>
        </w:rPr>
      </w:pPr>
      <w:r>
        <w:rPr>
          <w:rFonts w:hint="eastAsia" w:ascii="仿宋_GB2312" w:hAnsi="仿宋" w:eastAsia="仿宋_GB2312"/>
          <w:sz w:val="32"/>
          <w:szCs w:val="32"/>
        </w:rPr>
        <w:t>阿坝州医疗保障事务中心属阿坝州医疗保障局下设参公事业单位，参公编制25名。年末实有人员23人，本年调出2人。</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二、部门财政资金收支情况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（一）部门财政资金收入情况。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州医疗保障事务中心2019年收入年初预算数567.29万元，决算数1118.41万元，其中财政拨款收入年初预算数567.29万元，决算数1118.41万元。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w:t>
      </w:r>
      <w:r>
        <w:rPr>
          <w:rFonts w:hint="eastAsia" w:ascii="仿宋_GB2312" w:eastAsia="仿宋_GB2312"/>
          <w:sz w:val="32"/>
          <w:szCs w:val="32"/>
          <w:lang w:val="en-US" w:eastAsia="zh-CN"/>
        </w:rPr>
        <w:t>二</w:t>
      </w:r>
      <w:r>
        <w:rPr>
          <w:rFonts w:hint="eastAsia" w:ascii="仿宋_GB2312" w:eastAsia="仿宋_GB2312"/>
          <w:sz w:val="32"/>
          <w:szCs w:val="32"/>
          <w:lang w:val="zh-CN" w:eastAsia="zh-CN"/>
        </w:rPr>
        <w:t>）部门财政资金支出情况。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州医疗保障事务中心2019年支出年初预算数572.16万元，支出决算数1214.87万元，其中：基本支出年初预算454.66万元，决算数526.39万元，项目支出年初预算数117.5万元，决算数688.48万元。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三、部门财政支出管理情况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（一）预算编制情况。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州医疗保障事务中心</w:t>
      </w:r>
      <w:r>
        <w:rPr>
          <w:rFonts w:hint="eastAsia" w:ascii="仿宋_GB2312" w:eastAsia="仿宋_GB2312"/>
          <w:sz w:val="32"/>
          <w:szCs w:val="32"/>
          <w:lang w:val="zh-CN" w:eastAsia="zh-CN"/>
        </w:rPr>
        <w:t>201</w:t>
      </w:r>
      <w:r>
        <w:rPr>
          <w:rFonts w:hint="eastAsia" w:ascii="仿宋_GB2312" w:eastAsia="仿宋_GB2312"/>
          <w:sz w:val="32"/>
          <w:szCs w:val="32"/>
          <w:lang w:val="en-US" w:eastAsia="zh-CN"/>
        </w:rPr>
        <w:t>9</w:t>
      </w:r>
      <w:r>
        <w:rPr>
          <w:rFonts w:hint="eastAsia" w:ascii="仿宋_GB2312" w:eastAsia="仿宋_GB2312"/>
          <w:sz w:val="32"/>
          <w:szCs w:val="32"/>
          <w:lang w:val="zh-CN" w:eastAsia="zh-CN"/>
        </w:rPr>
        <w:t>年,财政拨款收入预算</w:t>
      </w:r>
      <w:r>
        <w:rPr>
          <w:rFonts w:hint="eastAsia" w:ascii="仿宋_GB2312" w:eastAsia="仿宋_GB2312"/>
          <w:sz w:val="32"/>
          <w:szCs w:val="32"/>
          <w:lang w:val="en-US" w:eastAsia="zh-CN"/>
        </w:rPr>
        <w:t>567.29</w:t>
      </w:r>
      <w:r>
        <w:rPr>
          <w:rFonts w:hint="eastAsia" w:ascii="仿宋_GB2312" w:eastAsia="仿宋_GB2312"/>
          <w:sz w:val="32"/>
          <w:szCs w:val="32"/>
          <w:lang w:val="zh-CN" w:eastAsia="zh-CN"/>
        </w:rPr>
        <w:t>万元，支出预算为</w:t>
      </w:r>
      <w:r>
        <w:rPr>
          <w:rFonts w:hint="eastAsia" w:ascii="仿宋_GB2312" w:eastAsia="仿宋_GB2312"/>
          <w:sz w:val="32"/>
          <w:szCs w:val="32"/>
          <w:lang w:val="en-US" w:eastAsia="zh-CN"/>
        </w:rPr>
        <w:t>572.16</w:t>
      </w:r>
      <w:r>
        <w:rPr>
          <w:rFonts w:hint="eastAsia" w:ascii="仿宋_GB2312" w:eastAsia="仿宋_GB2312"/>
          <w:sz w:val="32"/>
          <w:szCs w:val="32"/>
          <w:lang w:val="zh-CN" w:eastAsia="zh-CN"/>
        </w:rPr>
        <w:t>万元。其中：基本支出:</w:t>
      </w:r>
      <w:r>
        <w:rPr>
          <w:rFonts w:hint="eastAsia" w:ascii="仿宋_GB2312" w:eastAsia="仿宋_GB2312"/>
          <w:sz w:val="32"/>
          <w:szCs w:val="32"/>
          <w:lang w:val="en-US" w:eastAsia="zh-CN"/>
        </w:rPr>
        <w:t>449.79</w:t>
      </w:r>
      <w:r>
        <w:rPr>
          <w:rFonts w:hint="eastAsia" w:ascii="仿宋_GB2312" w:eastAsia="仿宋_GB2312"/>
          <w:sz w:val="32"/>
          <w:szCs w:val="32"/>
          <w:lang w:val="zh-CN" w:eastAsia="zh-CN"/>
        </w:rPr>
        <w:t>万元，项目支出</w:t>
      </w:r>
      <w:r>
        <w:rPr>
          <w:rFonts w:hint="eastAsia" w:ascii="仿宋_GB2312" w:eastAsia="仿宋_GB2312"/>
          <w:sz w:val="32"/>
          <w:szCs w:val="32"/>
          <w:lang w:val="en-US" w:eastAsia="zh-CN"/>
        </w:rPr>
        <w:t>122.37</w:t>
      </w:r>
      <w:r>
        <w:rPr>
          <w:rFonts w:hint="eastAsia" w:ascii="仿宋_GB2312" w:eastAsia="仿宋_GB2312"/>
          <w:sz w:val="32"/>
          <w:szCs w:val="32"/>
          <w:lang w:val="zh-CN" w:eastAsia="zh-CN"/>
        </w:rPr>
        <w:t>万元。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我单位严格按照州级部门预算编制通知和有关要求，按时完成基础库、项目库报送工作，20</w:t>
      </w:r>
      <w:r>
        <w:rPr>
          <w:rFonts w:hint="eastAsia" w:ascii="仿宋_GB2312" w:eastAsia="仿宋_GB2312"/>
          <w:sz w:val="32"/>
          <w:szCs w:val="32"/>
          <w:lang w:val="en-US" w:eastAsia="zh-CN"/>
        </w:rPr>
        <w:t>19</w:t>
      </w:r>
      <w:r>
        <w:rPr>
          <w:rFonts w:hint="eastAsia" w:ascii="仿宋_GB2312" w:eastAsia="仿宋_GB2312"/>
          <w:sz w:val="32"/>
          <w:szCs w:val="32"/>
          <w:lang w:val="zh-CN" w:eastAsia="zh-CN"/>
        </w:rPr>
        <w:t>年部门决算、绩效目标填报及年末结余结转都严格按照州财政局的要求认真完成。</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color w:val="auto"/>
          <w:sz w:val="32"/>
          <w:szCs w:val="32"/>
          <w:lang w:val="zh-CN" w:eastAsia="zh-CN"/>
        </w:rPr>
      </w:pPr>
      <w:r>
        <w:rPr>
          <w:rFonts w:hint="eastAsia" w:ascii="仿宋_GB2312" w:eastAsia="仿宋_GB2312"/>
          <w:sz w:val="32"/>
          <w:szCs w:val="32"/>
          <w:lang w:val="zh-CN" w:eastAsia="zh-CN"/>
        </w:rPr>
        <w:t>（</w:t>
      </w:r>
      <w:r>
        <w:rPr>
          <w:rFonts w:hint="eastAsia" w:ascii="仿宋_GB2312" w:eastAsia="仿宋_GB2312"/>
          <w:sz w:val="32"/>
          <w:szCs w:val="32"/>
          <w:lang w:val="en-US" w:eastAsia="zh-CN"/>
        </w:rPr>
        <w:t>二</w:t>
      </w:r>
      <w:r>
        <w:rPr>
          <w:rFonts w:hint="eastAsia" w:ascii="仿宋_GB2312" w:eastAsia="仿宋_GB2312"/>
          <w:sz w:val="32"/>
          <w:szCs w:val="32"/>
          <w:lang w:val="zh-CN" w:eastAsia="zh-CN"/>
        </w:rPr>
        <w:t>）</w:t>
      </w:r>
      <w:r>
        <w:rPr>
          <w:rFonts w:hint="eastAsia" w:ascii="仿宋_GB2312" w:eastAsia="仿宋_GB2312"/>
          <w:color w:val="auto"/>
          <w:sz w:val="32"/>
          <w:szCs w:val="32"/>
          <w:lang w:val="zh-CN" w:eastAsia="zh-CN"/>
        </w:rPr>
        <w:t>执行管理情况。</w:t>
      </w:r>
      <w:r>
        <w:rPr>
          <w:rFonts w:hint="eastAsia" w:ascii="仿宋_GB2312" w:eastAsia="仿宋_GB2312"/>
          <w:color w:val="auto"/>
          <w:sz w:val="32"/>
          <w:szCs w:val="32"/>
          <w:lang w:val="zh-CN" w:eastAsia="zh-CN"/>
        </w:rPr>
        <w:tab/>
      </w:r>
    </w:p>
    <w:p>
      <w:pPr>
        <w:pStyle w:val="2"/>
        <w:numPr>
          <w:ilvl w:val="0"/>
          <w:numId w:val="0"/>
        </w:numPr>
        <w:ind w:firstLine="640" w:firstLineChars="200"/>
        <w:rPr>
          <w:rFonts w:hint="eastAsia" w:ascii="仿宋_GB2312" w:hAnsi="仿宋" w:eastAsia="仿宋_GB2312"/>
          <w:sz w:val="32"/>
          <w:szCs w:val="32"/>
        </w:rPr>
      </w:pPr>
      <w:r>
        <w:rPr>
          <w:rFonts w:hint="eastAsia" w:ascii="仿宋_GB2312" w:eastAsia="仿宋_GB2312"/>
          <w:color w:val="auto"/>
          <w:sz w:val="32"/>
          <w:szCs w:val="32"/>
          <w:lang w:val="en-US" w:eastAsia="zh-CN"/>
        </w:rPr>
        <w:t>州医疗保障事务中心2019年本年收入年初预算数为567.29万元，调整后预算数为1118.41万元，决算数为1118.41万元，</w:t>
      </w:r>
      <w:r>
        <w:rPr>
          <w:rFonts w:hint="eastAsia" w:ascii="仿宋_GB2312" w:eastAsia="仿宋_GB2312"/>
          <w:color w:val="auto"/>
          <w:sz w:val="32"/>
          <w:szCs w:val="32"/>
          <w:lang w:val="zh-CN" w:eastAsia="zh-CN"/>
        </w:rPr>
        <w:t>完成年度调整预算数的100%。支出决算数1214.87万元，完成预算调整本年支出99.56%。</w:t>
      </w:r>
      <w:r>
        <w:rPr>
          <w:rFonts w:hint="eastAsia" w:ascii="仿宋_GB2312" w:hAnsi="仿宋" w:eastAsia="仿宋_GB2312"/>
          <w:sz w:val="32"/>
          <w:szCs w:val="32"/>
        </w:rPr>
        <w:t>因本年公务车辆于年底采购，仅支付车辆原价，暂未缴纳车辆购置税费，故结转0.52万元于次年缴纳购置税等费。</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en-US" w:eastAsia="zh-CN"/>
        </w:rPr>
        <w:t>2019年</w:t>
      </w:r>
      <w:r>
        <w:rPr>
          <w:rFonts w:hint="eastAsia" w:ascii="仿宋_GB2312" w:eastAsia="仿宋_GB2312"/>
          <w:sz w:val="32"/>
          <w:szCs w:val="32"/>
          <w:lang w:val="zh-CN" w:eastAsia="zh-CN"/>
        </w:rPr>
        <w:t>“三公”经费控制情况：贯彻落实上级有关精神，严格控制 “三公”经费支出。本年支出</w:t>
      </w:r>
      <w:r>
        <w:rPr>
          <w:rFonts w:hint="eastAsia" w:ascii="仿宋_GB2312" w:eastAsia="仿宋_GB2312"/>
          <w:sz w:val="32"/>
          <w:szCs w:val="32"/>
          <w:lang w:val="en-US" w:eastAsia="zh-CN"/>
        </w:rPr>
        <w:t>66.09</w:t>
      </w:r>
      <w:r>
        <w:rPr>
          <w:rFonts w:hint="eastAsia" w:ascii="仿宋_GB2312" w:eastAsia="仿宋_GB2312"/>
          <w:sz w:val="32"/>
          <w:szCs w:val="32"/>
          <w:lang w:val="zh-CN" w:eastAsia="zh-CN"/>
        </w:rPr>
        <w:t>万元，</w:t>
      </w:r>
      <w:r>
        <w:rPr>
          <w:rFonts w:hint="eastAsia" w:ascii="仿宋_GB2312" w:eastAsia="仿宋_GB2312"/>
          <w:sz w:val="32"/>
          <w:szCs w:val="32"/>
          <w:lang w:val="en-US" w:eastAsia="zh-CN"/>
        </w:rPr>
        <w:t>年初预算数7.6万元</w:t>
      </w:r>
      <w:r>
        <w:rPr>
          <w:rFonts w:hint="eastAsia" w:ascii="仿宋_GB2312" w:eastAsia="仿宋_GB2312"/>
          <w:sz w:val="32"/>
          <w:szCs w:val="32"/>
          <w:lang w:val="zh-CN" w:eastAsia="zh-CN"/>
        </w:rPr>
        <w:t>。变动原因：</w:t>
      </w:r>
      <w:r>
        <w:rPr>
          <w:rFonts w:hint="eastAsia" w:ascii="仿宋_GB2312" w:eastAsia="仿宋_GB2312"/>
          <w:sz w:val="32"/>
          <w:szCs w:val="32"/>
          <w:lang w:val="en-US" w:eastAsia="zh-CN"/>
        </w:rPr>
        <w:t>经阿坝州公务用车制度改革和管理领导小组办公室研究</w:t>
      </w:r>
      <w:r>
        <w:rPr>
          <w:rFonts w:hint="eastAsia" w:ascii="仿宋_GB2312" w:eastAsia="仿宋_GB2312"/>
          <w:sz w:val="32"/>
          <w:szCs w:val="32"/>
          <w:lang w:val="zh-CN" w:eastAsia="zh-CN"/>
        </w:rPr>
        <w:t>(阿州</w:t>
      </w:r>
      <w:r>
        <w:rPr>
          <w:rFonts w:hint="eastAsia" w:ascii="仿宋_GB2312" w:eastAsia="仿宋_GB2312"/>
          <w:sz w:val="32"/>
          <w:szCs w:val="32"/>
          <w:lang w:val="en-US" w:eastAsia="zh-CN"/>
        </w:rPr>
        <w:t>财库</w:t>
      </w:r>
      <w:r>
        <w:rPr>
          <w:rFonts w:hint="eastAsia" w:ascii="仿宋_GB2312" w:eastAsia="仿宋_GB2312"/>
          <w:sz w:val="32"/>
          <w:szCs w:val="32"/>
          <w:lang w:val="zh-CN" w:eastAsia="zh-CN"/>
        </w:rPr>
        <w:t>〔</w:t>
      </w:r>
      <w:r>
        <w:rPr>
          <w:rFonts w:hint="eastAsia" w:ascii="仿宋_GB2312" w:eastAsia="仿宋_GB2312"/>
          <w:sz w:val="32"/>
          <w:szCs w:val="32"/>
          <w:lang w:val="en-US" w:eastAsia="zh-CN"/>
        </w:rPr>
        <w:t>2019</w:t>
      </w:r>
      <w:r>
        <w:rPr>
          <w:rFonts w:hint="eastAsia" w:ascii="仿宋_GB2312" w:eastAsia="仿宋_GB2312"/>
          <w:sz w:val="32"/>
          <w:szCs w:val="32"/>
          <w:lang w:val="zh-CN" w:eastAsia="zh-CN"/>
        </w:rPr>
        <w:t>〕1</w:t>
      </w:r>
      <w:r>
        <w:rPr>
          <w:rFonts w:hint="eastAsia" w:ascii="仿宋_GB2312" w:eastAsia="仿宋_GB2312"/>
          <w:sz w:val="32"/>
          <w:szCs w:val="32"/>
          <w:lang w:val="en-US" w:eastAsia="zh-CN"/>
        </w:rPr>
        <w:t>2</w:t>
      </w:r>
      <w:r>
        <w:rPr>
          <w:rFonts w:hint="eastAsia" w:ascii="仿宋_GB2312" w:eastAsia="仿宋_GB2312"/>
          <w:sz w:val="32"/>
          <w:szCs w:val="32"/>
          <w:lang w:val="zh-CN" w:eastAsia="zh-CN"/>
        </w:rPr>
        <w:t>号)</w:t>
      </w:r>
      <w:r>
        <w:rPr>
          <w:rFonts w:hint="eastAsia" w:ascii="仿宋_GB2312" w:eastAsia="仿宋_GB2312"/>
          <w:sz w:val="32"/>
          <w:szCs w:val="32"/>
          <w:lang w:val="en-US" w:eastAsia="zh-CN"/>
        </w:rPr>
        <w:t>同意阿坝州医疗保障事务中心更新1辆排气量3.5升以下，价格60万元以内的国产越野型公务用车</w:t>
      </w:r>
      <w:r>
        <w:rPr>
          <w:rFonts w:hint="eastAsia" w:ascii="仿宋_GB2312" w:eastAsia="仿宋_GB2312"/>
          <w:sz w:val="32"/>
          <w:szCs w:val="32"/>
          <w:lang w:val="zh-CN" w:eastAsia="zh-CN"/>
        </w:rPr>
        <w:t>。</w:t>
      </w:r>
      <w:r>
        <w:rPr>
          <w:rFonts w:hint="eastAsia" w:ascii="仿宋_GB2312" w:eastAsia="仿宋_GB2312"/>
          <w:sz w:val="32"/>
          <w:szCs w:val="32"/>
          <w:lang w:val="en-US" w:eastAsia="zh-CN"/>
        </w:rPr>
        <w:t>我局于严格按照党政机关公务用车配备使用管理和政府采购有关规定，于12月购置公务用车一辆，金额594800元。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（三）综合管理情况。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en-US" w:eastAsia="zh-CN"/>
        </w:rPr>
      </w:pPr>
      <w:r>
        <w:rPr>
          <w:rFonts w:hint="eastAsia" w:ascii="仿宋_GB2312" w:eastAsia="仿宋_GB2312"/>
          <w:sz w:val="32"/>
          <w:szCs w:val="32"/>
          <w:lang w:val="zh-CN" w:eastAsia="zh-CN"/>
        </w:rPr>
        <w:t>本单位无政府性债务；</w:t>
      </w:r>
      <w:r>
        <w:rPr>
          <w:rFonts w:hint="eastAsia" w:ascii="仿宋_GB2312" w:eastAsia="仿宋_GB2312"/>
          <w:sz w:val="32"/>
          <w:szCs w:val="32"/>
          <w:lang w:val="en-US" w:eastAsia="zh-CN"/>
        </w:rPr>
        <w:t>2019年非税收入及时足缴入财政；单位所有国有资产都已纳入资产信息系统管理，并按时上报国有资产报表；2019年单位内部控制制度健全，总体运行评价为中；按照州财政局通知要求，及时向社会公开本部门2019年决算情况，以及2020年预算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（四）整体绩效。</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根据阿州财预[2018]15号文件要求，我单位对财政资金使用管理情况，按照《阿坝州州级预算绩效目标管理办法》认真开展自评工作，撰写部门自评报告。我局财务管理严格依法依规，做到公开公平公正，严格执行各项有关法律法规、财经纪律、财务规章制度的同时，我局根据单位自身情况结合各项规定编制了《阿坝州医疗保险管理局经费内控管理制度汇编》，系统阐述了预（决）算、政府采购、国库集中支付、专项资金等管理办法和操作规程。</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3" w:firstLineChars="200"/>
        <w:jc w:val="lef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四、评价结论及建议</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（一）评价结论。</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en-US" w:eastAsia="zh-CN"/>
        </w:rPr>
        <w:t>2019年</w:t>
      </w:r>
      <w:r>
        <w:rPr>
          <w:rFonts w:hint="eastAsia" w:ascii="仿宋_GB2312" w:eastAsia="仿宋_GB2312"/>
          <w:sz w:val="32"/>
          <w:szCs w:val="32"/>
          <w:lang w:val="zh-CN" w:eastAsia="zh-CN"/>
        </w:rPr>
        <w:t>我单位当期总支出控制在范围内，未发生超额使用情况，为全年支出在可控使用打下一定的基础。</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项目绩效目标完成情况。2019年共有项目支出2个，预算合计689万元，支出合计688.48万元，完成预算的99.92%，拨款结转0.52万元。</w:t>
      </w:r>
    </w:p>
    <w:p>
      <w:pPr>
        <w:pStyle w:val="2"/>
      </w:pPr>
      <w:r>
        <w:rPr>
          <w:rFonts w:hint="eastAsia" w:ascii="仿宋_GB2312" w:hAnsi="仿宋" w:eastAsia="仿宋_GB2312"/>
          <w:sz w:val="32"/>
          <w:szCs w:val="32"/>
          <w:lang w:val="zh-CN"/>
        </w:rPr>
        <w:t>存在问题</w:t>
      </w:r>
      <w:r>
        <w:rPr>
          <w:rFonts w:hint="eastAsia" w:ascii="仿宋_GB2312" w:hAnsi="仿宋" w:eastAsia="仿宋_GB2312"/>
          <w:sz w:val="32"/>
          <w:szCs w:val="32"/>
        </w:rPr>
        <w:t>及原因</w:t>
      </w:r>
      <w:r>
        <w:rPr>
          <w:rFonts w:hint="eastAsia" w:ascii="仿宋_GB2312" w:hAnsi="仿宋" w:eastAsia="仿宋_GB2312"/>
          <w:sz w:val="32"/>
          <w:szCs w:val="32"/>
          <w:lang w:val="zh-CN"/>
        </w:rPr>
        <w:t>。</w:t>
      </w:r>
      <w:r>
        <w:rPr>
          <w:rFonts w:hint="eastAsia" w:ascii="仿宋_GB2312" w:hAnsi="仿宋" w:eastAsia="仿宋_GB2312"/>
          <w:sz w:val="32"/>
          <w:szCs w:val="32"/>
        </w:rPr>
        <w:t>预算支出不均衡</w:t>
      </w:r>
      <w:r>
        <w:rPr>
          <w:rFonts w:hint="eastAsia" w:ascii="仿宋_GB2312" w:hAnsi="仿宋" w:eastAsia="仿宋_GB2312"/>
          <w:sz w:val="32"/>
          <w:szCs w:val="32"/>
          <w:lang w:val="zh-CN"/>
        </w:rPr>
        <w:t>。影响相关经费支出进度</w:t>
      </w:r>
      <w:r>
        <w:rPr>
          <w:rFonts w:hint="eastAsia" w:ascii="仿宋_GB2312" w:hAnsi="仿宋" w:eastAsia="仿宋_GB2312"/>
          <w:sz w:val="32"/>
          <w:szCs w:val="32"/>
        </w:rPr>
        <w:t>的主要</w:t>
      </w:r>
      <w:r>
        <w:rPr>
          <w:rFonts w:hint="eastAsia" w:ascii="仿宋_GB2312" w:hAnsi="仿宋" w:eastAsia="仿宋_GB2312"/>
          <w:sz w:val="32"/>
          <w:szCs w:val="32"/>
          <w:lang w:val="zh-CN"/>
        </w:rPr>
        <w:t>原因：一是2019年全州城乡居民建档立卡贫困人员大病补充商业保险费629万元由经费户过渡，</w:t>
      </w:r>
      <w:r>
        <w:rPr>
          <w:rFonts w:hint="eastAsia" w:ascii="仿宋_GB2312" w:hAnsi="仿宋" w:eastAsia="仿宋_GB2312"/>
          <w:sz w:val="32"/>
          <w:szCs w:val="32"/>
        </w:rPr>
        <w:t>未纳入年初预算</w:t>
      </w:r>
      <w:r>
        <w:rPr>
          <w:rFonts w:hint="eastAsia" w:ascii="仿宋_GB2312" w:hAnsi="仿宋" w:eastAsia="仿宋_GB2312"/>
          <w:sz w:val="32"/>
          <w:szCs w:val="32"/>
          <w:lang w:val="zh-CN"/>
        </w:rPr>
        <w:t>；二是政府采购项目</w:t>
      </w:r>
      <w:r>
        <w:rPr>
          <w:rFonts w:hint="eastAsia" w:ascii="仿宋_GB2312" w:hAnsi="仿宋" w:eastAsia="仿宋_GB2312"/>
          <w:sz w:val="32"/>
          <w:szCs w:val="32"/>
        </w:rPr>
        <w:t>通过</w:t>
      </w:r>
      <w:r>
        <w:rPr>
          <w:rFonts w:hint="eastAsia" w:ascii="仿宋_GB2312" w:hAnsi="仿宋" w:eastAsia="仿宋_GB2312"/>
          <w:sz w:val="32"/>
          <w:szCs w:val="32"/>
          <w:lang w:val="zh-CN"/>
        </w:rPr>
        <w:t>网上竞价，</w:t>
      </w:r>
      <w:r>
        <w:rPr>
          <w:rFonts w:hint="eastAsia" w:ascii="仿宋_GB2312" w:hAnsi="仿宋" w:eastAsia="仿宋_GB2312"/>
          <w:sz w:val="32"/>
          <w:szCs w:val="32"/>
        </w:rPr>
        <w:t>需竞价成功才能进行采购完成相关流程，</w:t>
      </w:r>
      <w:r>
        <w:rPr>
          <w:rFonts w:hint="eastAsia" w:ascii="仿宋_GB2312" w:hAnsi="仿宋" w:eastAsia="仿宋_GB2312"/>
          <w:sz w:val="32"/>
          <w:szCs w:val="32"/>
          <w:lang w:val="zh-CN"/>
        </w:rPr>
        <w:t>支付相关费用；三是水电</w:t>
      </w:r>
      <w:r>
        <w:rPr>
          <w:rFonts w:hint="eastAsia" w:ascii="仿宋_GB2312" w:hAnsi="仿宋" w:eastAsia="仿宋_GB2312"/>
          <w:sz w:val="32"/>
          <w:szCs w:val="32"/>
        </w:rPr>
        <w:t>等</w:t>
      </w:r>
      <w:r>
        <w:rPr>
          <w:rFonts w:hint="eastAsia" w:ascii="仿宋_GB2312" w:hAnsi="仿宋" w:eastAsia="仿宋_GB2312"/>
          <w:sz w:val="32"/>
          <w:szCs w:val="32"/>
          <w:lang w:val="zh-CN"/>
        </w:rPr>
        <w:t>相关费用在下半年才</w:t>
      </w:r>
      <w:r>
        <w:rPr>
          <w:rFonts w:hint="eastAsia" w:ascii="仿宋_GB2312" w:hAnsi="仿宋" w:eastAsia="仿宋_GB2312"/>
          <w:sz w:val="32"/>
          <w:szCs w:val="32"/>
        </w:rPr>
        <w:t>进行</w:t>
      </w:r>
      <w:r>
        <w:rPr>
          <w:rFonts w:hint="eastAsia" w:ascii="仿宋_GB2312" w:hAnsi="仿宋" w:eastAsia="仿宋_GB2312"/>
          <w:sz w:val="32"/>
          <w:szCs w:val="32"/>
          <w:lang w:val="zh-CN"/>
        </w:rPr>
        <w:t>分摊</w:t>
      </w:r>
      <w:r>
        <w:rPr>
          <w:rFonts w:hint="eastAsia" w:ascii="仿宋_GB2312" w:hAnsi="仿宋" w:eastAsia="仿宋_GB2312"/>
          <w:sz w:val="32"/>
          <w:szCs w:val="32"/>
        </w:rPr>
        <w:t>支出</w:t>
      </w:r>
      <w:r>
        <w:rPr>
          <w:rFonts w:hint="eastAsia" w:ascii="仿宋_GB2312" w:hAnsi="仿宋" w:eastAsia="仿宋_GB2312"/>
          <w:sz w:val="32"/>
          <w:szCs w:val="32"/>
          <w:lang w:val="zh-CN"/>
        </w:rPr>
        <w:t>；四是职工的体检工作</w:t>
      </w:r>
      <w:r>
        <w:rPr>
          <w:rFonts w:hint="eastAsia" w:ascii="仿宋_GB2312" w:hAnsi="仿宋" w:eastAsia="仿宋_GB2312"/>
          <w:sz w:val="32"/>
          <w:szCs w:val="32"/>
        </w:rPr>
        <w:t>在下半年</w:t>
      </w:r>
      <w:r>
        <w:rPr>
          <w:rFonts w:hint="eastAsia" w:ascii="仿宋_GB2312" w:hAnsi="仿宋" w:eastAsia="仿宋_GB2312"/>
          <w:sz w:val="32"/>
          <w:szCs w:val="32"/>
          <w:lang w:val="zh-CN"/>
        </w:rPr>
        <w:t>完成。以上几个方面原因影响了相关经费支出的进度。</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lang w:val="zh-CN" w:eastAsia="zh-CN"/>
        </w:rPr>
      </w:pPr>
      <w:r>
        <w:rPr>
          <w:rFonts w:hint="eastAsia" w:ascii="仿宋_GB2312" w:eastAsia="仿宋_GB2312"/>
          <w:sz w:val="32"/>
          <w:szCs w:val="32"/>
          <w:lang w:val="zh-CN" w:eastAsia="zh-CN"/>
        </w:rPr>
        <w:t>（</w:t>
      </w:r>
      <w:r>
        <w:rPr>
          <w:rFonts w:hint="eastAsia" w:ascii="仿宋_GB2312" w:eastAsia="仿宋_GB2312"/>
          <w:sz w:val="32"/>
          <w:szCs w:val="32"/>
          <w:lang w:val="en-US" w:eastAsia="zh-CN"/>
        </w:rPr>
        <w:t>二</w:t>
      </w:r>
      <w:r>
        <w:rPr>
          <w:rFonts w:hint="eastAsia" w:ascii="仿宋_GB2312" w:eastAsia="仿宋_GB2312"/>
          <w:sz w:val="32"/>
          <w:szCs w:val="32"/>
          <w:lang w:val="zh-CN" w:eastAsia="zh-CN"/>
        </w:rPr>
        <w:t>）改进建议。</w:t>
      </w:r>
    </w:p>
    <w:p>
      <w:pPr>
        <w:widowControl/>
        <w:adjustRightInd w:val="0"/>
        <w:snapToGrid w:val="0"/>
        <w:spacing w:line="540" w:lineRule="exact"/>
        <w:ind w:left="-120" w:leftChars="-57" w:firstLine="640" w:firstLineChars="200"/>
        <w:jc w:val="left"/>
        <w:rPr>
          <w:rFonts w:ascii="仿宋_GB2312" w:hAnsi="仿宋" w:eastAsia="仿宋_GB2312"/>
          <w:sz w:val="32"/>
          <w:szCs w:val="32"/>
          <w:lang w:val="zh-CN"/>
        </w:rPr>
      </w:pPr>
      <w:r>
        <w:rPr>
          <w:rFonts w:hint="eastAsia" w:ascii="仿宋_GB2312" w:hAnsi="仿宋" w:eastAsia="仿宋_GB2312"/>
          <w:sz w:val="32"/>
          <w:szCs w:val="32"/>
          <w:lang w:val="zh-CN"/>
        </w:rPr>
        <w:t>针对存在的问题，我</w:t>
      </w:r>
      <w:r>
        <w:rPr>
          <w:rFonts w:hint="eastAsia" w:ascii="仿宋_GB2312" w:hAnsi="仿宋" w:eastAsia="仿宋_GB2312"/>
          <w:sz w:val="32"/>
          <w:szCs w:val="32"/>
        </w:rPr>
        <w:t>中心</w:t>
      </w:r>
      <w:r>
        <w:rPr>
          <w:rFonts w:hint="eastAsia" w:ascii="仿宋_GB2312" w:hAnsi="仿宋" w:eastAsia="仿宋_GB2312"/>
          <w:sz w:val="32"/>
          <w:szCs w:val="32"/>
          <w:lang w:val="zh-CN"/>
        </w:rPr>
        <w:t>按照部门预算进度做好以下工作：一是严格按照厉行节约原则，严把经费支出关；二是根据年初工作安排，按进度推进专项工作的顺利开展，确保经费的使用进度规范、合理。</w:t>
      </w: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pStyle w:val="20"/>
        <w:spacing w:line="600" w:lineRule="exact"/>
        <w:rPr>
          <w:rFonts w:hint="eastAsia" w:ascii="方正小标宋简体" w:hAnsi="宋体" w:eastAsia="方正小标宋简体"/>
          <w:sz w:val="44"/>
          <w:szCs w:val="44"/>
        </w:rPr>
      </w:pPr>
    </w:p>
    <w:p>
      <w:pPr>
        <w:pStyle w:val="20"/>
        <w:spacing w:line="600" w:lineRule="exact"/>
        <w:ind w:firstLine="1760" w:firstLineChars="400"/>
        <w:rPr>
          <w:rFonts w:ascii="仿宋_GB2312" w:hAnsi="宋体" w:eastAsia="仿宋_GB2312"/>
          <w:color w:val="auto"/>
          <w:kern w:val="2"/>
          <w:sz w:val="32"/>
          <w:szCs w:val="32"/>
        </w:rPr>
      </w:pPr>
      <w:r>
        <w:rPr>
          <w:rFonts w:hint="eastAsia" w:ascii="方正小标宋简体" w:hAnsi="宋体" w:eastAsia="方正小标宋简体"/>
          <w:sz w:val="44"/>
          <w:szCs w:val="44"/>
        </w:rPr>
        <w:t>项目支出绩效自评报告</w:t>
      </w:r>
    </w:p>
    <w:p>
      <w:pPr>
        <w:jc w:val="both"/>
        <w:rPr>
          <w:rFonts w:ascii="仿宋_GB2312"/>
          <w:sz w:val="28"/>
          <w:szCs w:val="28"/>
        </w:rPr>
      </w:pPr>
      <w:r>
        <w:rPr>
          <w:rFonts w:hint="eastAsia" w:ascii="仿宋_GB2312"/>
          <w:sz w:val="28"/>
          <w:szCs w:val="28"/>
        </w:rPr>
        <w:t>（</w:t>
      </w:r>
      <w:r>
        <w:rPr>
          <w:rFonts w:hint="eastAsia" w:ascii="仿宋_GB2312" w:hAnsi="仿宋_GB2312" w:eastAsia="仿宋_GB2312" w:cs="仿宋_GB2312"/>
          <w:sz w:val="28"/>
          <w:szCs w:val="28"/>
          <w:highlight w:val="none"/>
          <w:lang w:val="en-US" w:eastAsia="zh-CN"/>
        </w:rPr>
        <w:t>2019年专项扶贫资金-建档立卡贫困人口大病补充商业保险项目</w:t>
      </w:r>
      <w:r>
        <w:rPr>
          <w:rFonts w:hint="eastAsia" w:ascii="仿宋_GB2312"/>
          <w:sz w:val="28"/>
          <w:szCs w:val="28"/>
        </w:rPr>
        <w:t>）</w:t>
      </w:r>
    </w:p>
    <w:p>
      <w:pPr>
        <w:pStyle w:val="20"/>
        <w:spacing w:line="600" w:lineRule="exact"/>
        <w:ind w:firstLine="640"/>
        <w:jc w:val="center"/>
        <w:rPr>
          <w:rFonts w:ascii="宋体" w:hAnsi="宋体"/>
          <w:color w:val="auto"/>
          <w:kern w:val="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3" w:firstLineChars="200"/>
        <w:jc w:val="left"/>
        <w:textAlignment w:val="auto"/>
        <w:rPr>
          <w:rFonts w:hint="eastAsia" w:ascii="仿宋_GB2312" w:hAnsi="Times New Roman" w:eastAsia="仿宋_GB2312" w:cs="Times New Roman"/>
          <w:b/>
          <w:bCs/>
          <w:sz w:val="32"/>
          <w:szCs w:val="32"/>
          <w:lang w:val="zh-CN" w:eastAsia="zh-CN"/>
        </w:rPr>
      </w:pPr>
      <w:r>
        <w:rPr>
          <w:rFonts w:hint="eastAsia" w:ascii="仿宋_GB2312" w:hAnsi="Times New Roman" w:eastAsia="仿宋_GB2312" w:cs="Times New Roman"/>
          <w:b/>
          <w:bCs/>
          <w:sz w:val="32"/>
          <w:szCs w:val="32"/>
          <w:lang w:val="en-US" w:eastAsia="zh-CN"/>
        </w:rPr>
        <w:t>一、</w:t>
      </w:r>
      <w:r>
        <w:rPr>
          <w:rFonts w:hint="eastAsia" w:ascii="仿宋_GB2312" w:hAnsi="Times New Roman" w:eastAsia="仿宋_GB2312" w:cs="Times New Roman"/>
          <w:b/>
          <w:bCs/>
          <w:sz w:val="32"/>
          <w:szCs w:val="32"/>
          <w:lang w:val="zh-CN" w:eastAsia="zh-CN"/>
        </w:rPr>
        <w:t>项目概况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（一）项目资金申报及批复情况。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en-US" w:eastAsia="zh-CN"/>
        </w:rPr>
        <w:t>建档立卡贫困人口大病医疗补充商业保险以新明确的健康扶贫医疗保障范围，按照《阿坝州人民政府办公室关于印发〈阿坝州建档立卡贫困人口大病医疗补充商业保险实施方案〉的通知》（阿府办发〔2016〕39号）规定（建档立卡贫困人员参加大病补充医疗商业保险的费用标准为135元／人.年，由政府补助90%，所需资金按州、县（市）和卧龙特别行政区5∶5的比例分担；个人自筹10%）筹集资金。</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（二）项目绩效目标。</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该项目主要是</w:t>
      </w:r>
      <w:r>
        <w:rPr>
          <w:rFonts w:hint="eastAsia" w:ascii="仿宋_GB2312" w:hAnsi="Times New Roman" w:eastAsia="仿宋_GB2312" w:cs="Times New Roman"/>
          <w:sz w:val="32"/>
          <w:szCs w:val="32"/>
          <w:lang w:val="en-US" w:eastAsia="zh-CN"/>
        </w:rPr>
        <w:t>根据《阿坝州人民政府常务会议议定事项通知》（十二届州人民政府第6次11号）和《阿坝州人民政府办公室办文通知》（〔2017〕4-229号）精神，为深化医保扶贫，发挥大病医疗补充商业保险扶贫效益，减少贫困人口医疗费用垫付时限，促进医疗保险事业可持续发展而成立的。</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（三）项目资金申报相符性。</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该项目资金申报符合政策规定。</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3" w:firstLineChars="200"/>
        <w:jc w:val="left"/>
        <w:textAlignment w:val="auto"/>
        <w:rPr>
          <w:rFonts w:hint="eastAsia" w:ascii="仿宋_GB2312" w:hAnsi="Times New Roman" w:eastAsia="仿宋_GB2312" w:cs="Times New Roman"/>
          <w:b/>
          <w:bCs/>
          <w:sz w:val="32"/>
          <w:szCs w:val="32"/>
          <w:lang w:val="en-US" w:eastAsia="zh-CN"/>
        </w:rPr>
      </w:pPr>
      <w:r>
        <w:rPr>
          <w:rFonts w:hint="eastAsia" w:ascii="仿宋_GB2312" w:hAnsi="Times New Roman" w:eastAsia="仿宋_GB2312" w:cs="Times New Roman"/>
          <w:b/>
          <w:bCs/>
          <w:sz w:val="32"/>
          <w:szCs w:val="32"/>
          <w:lang w:val="en-US" w:eastAsia="zh-CN"/>
        </w:rPr>
        <w:t>二、项目实施及管理情况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（一）资金计划、到位及使用情况。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1．资金计划及到位。</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根据</w:t>
      </w:r>
      <w:r>
        <w:rPr>
          <w:rFonts w:hint="eastAsia" w:ascii="仿宋_GB2312" w:hAnsi="Times New Roman" w:eastAsia="仿宋_GB2312" w:cs="Times New Roman"/>
          <w:sz w:val="32"/>
          <w:szCs w:val="32"/>
          <w:lang w:val="en-US" w:eastAsia="zh-CN"/>
        </w:rPr>
        <w:t>《阿坝州财政局 阿坝州扶贫移民局关于下达2018年州级财政专项扶贫资金的通知》（阿州财农【2019】17号）号文件规定，财政局安排2019年建档立卡贫困人口大病医疗补充商业保险州级配套资金629万元，并于2019年3月拨款到位。</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2．资金使用。</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我中心严格遵守该笔资金“专款专用”， 州财政局城乡居民医疗保险基金财政专户于2019年3月收到该笔资金，我中心按资金性质计入“暂收款”，并于3月22日将该笔资金作为我州城乡居民建档立卡贫困人口大病补充商业保险第一笔保费支付给人保财险公司。</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（二）项目财务管理情况。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城乡居民医保基金我中心严格按照“分账核算”，建档立卡大病医疗补充商业保险转入财政专户后，计入“暂收款”；按规定程序进行支付，支出时，冲减暂收款。</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（三）项目组织实施情况。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目前，大病补充商业保险，手工结算的由建档立卡贫困人员在人保财险公司报销；辖区内联网结算的实行一单式结算，所产生的大病补充医疗保险由医疗机构与人保财险公司进行结算；异地结算的人员在医院端持卡结算后，由我中心垫付至省医保局，人保财险公司按期转入我中心异地周转金账户。</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3" w:firstLineChars="200"/>
        <w:jc w:val="left"/>
        <w:textAlignment w:val="auto"/>
        <w:rPr>
          <w:rFonts w:hint="eastAsia" w:ascii="仿宋_GB2312" w:hAnsi="Times New Roman" w:eastAsia="仿宋_GB2312" w:cs="Times New Roman"/>
          <w:b/>
          <w:bCs/>
          <w:sz w:val="32"/>
          <w:szCs w:val="32"/>
          <w:lang w:val="zh-CN" w:eastAsia="zh-CN"/>
        </w:rPr>
      </w:pPr>
      <w:r>
        <w:rPr>
          <w:rFonts w:hint="eastAsia" w:ascii="仿宋_GB2312" w:hAnsi="Times New Roman" w:eastAsia="仿宋_GB2312" w:cs="Times New Roman"/>
          <w:b/>
          <w:bCs/>
          <w:sz w:val="32"/>
          <w:szCs w:val="32"/>
          <w:lang w:val="en-US" w:eastAsia="zh-CN"/>
        </w:rPr>
        <w:t>三、项目绩效情况</w:t>
      </w:r>
      <w:r>
        <w:rPr>
          <w:rFonts w:hint="eastAsia" w:ascii="仿宋_GB2312" w:hAnsi="Times New Roman" w:eastAsia="仿宋_GB2312" w:cs="Times New Roman"/>
          <w:b/>
          <w:bCs/>
          <w:sz w:val="32"/>
          <w:szCs w:val="32"/>
          <w:lang w:val="zh-CN" w:eastAsia="zh-CN"/>
        </w:rPr>
        <w:tab/>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（一）项目完成情况。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2019年我中心分三次共向人保财险公司支付城乡居民建档立卡贫困人员保费1399.18万元，其中包含州级财政配套资金629万元、县级上解财政配套资金及个人缴费资金770.18万元。</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（二）项目效益情况。</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lang w:val="zh-CN" w:eastAsia="zh-CN"/>
        </w:rPr>
      </w:pPr>
      <w:r>
        <w:rPr>
          <w:rFonts w:hint="eastAsia" w:ascii="仿宋_GB2312" w:hAnsi="Times New Roman" w:eastAsia="仿宋_GB2312" w:cs="Times New Roman"/>
          <w:sz w:val="32"/>
          <w:szCs w:val="32"/>
          <w:lang w:val="zh-CN" w:eastAsia="zh-CN"/>
        </w:rPr>
        <w:t>我中心严格按照相关政策及时将城乡居民补充医疗保险保费支付给承办保险公司，异地平台结算的费用由我中心代为支付给省医保局，保障了城乡居民待遇，提升了贫困人口幸福感和获得感。得到了参保人员的理解和支持。</w:t>
      </w:r>
    </w:p>
    <w:p>
      <w:pPr>
        <w:rPr>
          <w:rFonts w:hint="eastAsia"/>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eastAsia="仿宋_GB2312"/>
          <w:sz w:val="32"/>
          <w:szCs w:val="32"/>
          <w:highlight w:val="green"/>
          <w:lang w:val="en-US" w:eastAsia="zh-CN"/>
        </w:rPr>
      </w:pPr>
    </w:p>
    <w:p>
      <w:pPr>
        <w:spacing w:line="580" w:lineRule="exact"/>
        <w:jc w:val="center"/>
        <w:rPr>
          <w:rFonts w:ascii="方正小标宋简体" w:hAnsi="方正小标宋简体" w:eastAsia="方正小标宋简体" w:cs="方正小标宋简体"/>
          <w:sz w:val="44"/>
          <w:szCs w:val="44"/>
          <w:highlight w:val="green"/>
        </w:rPr>
      </w:pPr>
    </w:p>
    <w:p>
      <w:pPr>
        <w:spacing w:line="600" w:lineRule="exact"/>
        <w:jc w:val="center"/>
        <w:rPr>
          <w:rFonts w:ascii="方正小标宋简体" w:hAnsi="宋体" w:eastAsia="方正小标宋简体"/>
          <w:color w:val="000000"/>
          <w:kern w:val="0"/>
          <w:sz w:val="40"/>
          <w:szCs w:val="44"/>
          <w:highlight w:val="green"/>
        </w:rPr>
      </w:pPr>
    </w:p>
    <w:p>
      <w:pPr>
        <w:spacing w:line="600" w:lineRule="exact"/>
        <w:jc w:val="center"/>
        <w:rPr>
          <w:rFonts w:ascii="方正小标宋简体" w:hAnsi="宋体" w:eastAsia="方正小标宋简体"/>
          <w:color w:val="000000"/>
          <w:kern w:val="0"/>
          <w:sz w:val="40"/>
          <w:szCs w:val="44"/>
          <w:highlight w:val="green"/>
        </w:rPr>
      </w:pPr>
    </w:p>
    <w:p>
      <w:pPr>
        <w:pStyle w:val="2"/>
        <w:rPr>
          <w:rFonts w:ascii="方正小标宋简体" w:hAnsi="宋体" w:eastAsia="方正小标宋简体"/>
          <w:color w:val="000000"/>
          <w:kern w:val="0"/>
          <w:sz w:val="40"/>
          <w:szCs w:val="44"/>
          <w:highlight w:val="green"/>
        </w:rPr>
      </w:pPr>
    </w:p>
    <w:p>
      <w:pPr>
        <w:pStyle w:val="2"/>
        <w:rPr>
          <w:rFonts w:ascii="方正小标宋简体" w:hAnsi="宋体" w:eastAsia="方正小标宋简体"/>
          <w:color w:val="000000"/>
          <w:kern w:val="0"/>
          <w:sz w:val="40"/>
          <w:szCs w:val="44"/>
          <w:highlight w:val="green"/>
        </w:rPr>
      </w:pPr>
    </w:p>
    <w:p>
      <w:pPr>
        <w:pStyle w:val="2"/>
        <w:rPr>
          <w:rFonts w:ascii="方正小标宋简体" w:hAnsi="宋体" w:eastAsia="方正小标宋简体"/>
          <w:color w:val="000000"/>
          <w:kern w:val="0"/>
          <w:sz w:val="40"/>
          <w:szCs w:val="44"/>
          <w:highlight w:val="green"/>
        </w:rPr>
      </w:pPr>
    </w:p>
    <w:p>
      <w:pPr>
        <w:pStyle w:val="2"/>
        <w:rPr>
          <w:rFonts w:ascii="方正小标宋简体" w:hAnsi="宋体" w:eastAsia="方正小标宋简体"/>
          <w:color w:val="000000"/>
          <w:kern w:val="0"/>
          <w:sz w:val="40"/>
          <w:szCs w:val="44"/>
          <w:highlight w:val="green"/>
        </w:rPr>
      </w:pPr>
    </w:p>
    <w:p>
      <w:pPr>
        <w:pStyle w:val="2"/>
        <w:rPr>
          <w:rFonts w:ascii="方正小标宋简体" w:hAnsi="宋体" w:eastAsia="方正小标宋简体"/>
          <w:color w:val="000000"/>
          <w:kern w:val="0"/>
          <w:sz w:val="40"/>
          <w:szCs w:val="44"/>
          <w:highlight w:val="green"/>
        </w:rPr>
      </w:pPr>
    </w:p>
    <w:p>
      <w:pPr>
        <w:pStyle w:val="2"/>
        <w:rPr>
          <w:rFonts w:ascii="方正小标宋简体" w:hAnsi="宋体" w:eastAsia="方正小标宋简体"/>
          <w:color w:val="000000"/>
          <w:kern w:val="0"/>
          <w:sz w:val="40"/>
          <w:szCs w:val="44"/>
          <w:highlight w:val="green"/>
        </w:rPr>
      </w:pPr>
    </w:p>
    <w:p>
      <w:pPr>
        <w:pStyle w:val="2"/>
        <w:ind w:left="0" w:leftChars="0" w:firstLine="0" w:firstLineChars="0"/>
        <w:rPr>
          <w:rFonts w:ascii="方正小标宋简体" w:hAnsi="宋体" w:eastAsia="方正小标宋简体"/>
          <w:color w:val="000000"/>
          <w:kern w:val="0"/>
          <w:sz w:val="40"/>
          <w:szCs w:val="44"/>
          <w:highlight w:val="green"/>
        </w:rPr>
      </w:pPr>
    </w:p>
    <w:p>
      <w:pPr>
        <w:spacing w:line="600" w:lineRule="exact"/>
        <w:ind w:firstLine="3080" w:firstLineChars="700"/>
        <w:jc w:val="both"/>
        <w:outlineLvl w:val="0"/>
        <w:rPr>
          <w:rFonts w:hint="eastAsia" w:ascii="黑体" w:hAnsi="黑体" w:eastAsia="黑体"/>
          <w:color w:val="000000"/>
          <w:sz w:val="44"/>
          <w:szCs w:val="44"/>
          <w:highlight w:val="none"/>
        </w:rPr>
      </w:pPr>
    </w:p>
    <w:p>
      <w:pPr>
        <w:spacing w:line="600" w:lineRule="exact"/>
        <w:ind w:firstLine="3080" w:firstLineChars="700"/>
        <w:jc w:val="both"/>
        <w:outlineLvl w:val="0"/>
        <w:rPr>
          <w:rFonts w:hint="eastAsia" w:ascii="黑体" w:hAnsi="黑体" w:eastAsia="黑体"/>
          <w:color w:val="000000"/>
          <w:sz w:val="44"/>
          <w:szCs w:val="44"/>
          <w:highlight w:val="none"/>
        </w:rPr>
      </w:pPr>
    </w:p>
    <w:p>
      <w:pPr>
        <w:spacing w:line="600" w:lineRule="exact"/>
        <w:ind w:firstLine="3080" w:firstLineChars="700"/>
        <w:jc w:val="both"/>
        <w:outlineLvl w:val="0"/>
        <w:rPr>
          <w:rStyle w:val="16"/>
          <w:rFonts w:ascii="黑体" w:hAnsi="黑体" w:eastAsia="黑体"/>
          <w:b w:val="0"/>
          <w:highlight w:val="none"/>
        </w:rPr>
      </w:pPr>
      <w:r>
        <w:rPr>
          <w:rFonts w:hint="eastAsia" w:ascii="黑体" w:hAnsi="黑体" w:eastAsia="黑体"/>
          <w:color w:val="000000"/>
          <w:sz w:val="44"/>
          <w:szCs w:val="44"/>
          <w:highlight w:val="none"/>
        </w:rPr>
        <w:t>第</w:t>
      </w:r>
      <w:r>
        <w:rPr>
          <w:rStyle w:val="16"/>
          <w:rFonts w:hint="eastAsia" w:ascii="黑体" w:hAnsi="黑体" w:eastAsia="黑体"/>
          <w:b w:val="0"/>
          <w:highlight w:val="none"/>
        </w:rPr>
        <w:t>五部分 附表</w:t>
      </w:r>
    </w:p>
    <w:p>
      <w:pPr>
        <w:pStyle w:val="5"/>
        <w:rPr>
          <w:rStyle w:val="17"/>
          <w:rFonts w:hint="eastAsia" w:ascii="仿宋" w:hAnsi="仿宋" w:eastAsia="仿宋"/>
          <w:b w:val="0"/>
          <w:bCs w:val="0"/>
          <w:highlight w:val="none"/>
        </w:rPr>
      </w:pPr>
      <w:r>
        <w:rPr>
          <w:rFonts w:hint="eastAsia" w:ascii="仿宋" w:hAnsi="仿宋" w:eastAsia="仿宋"/>
          <w:b w:val="0"/>
          <w:color w:val="000000"/>
          <w:highlight w:val="none"/>
        </w:rPr>
        <w:t>一、收</w:t>
      </w:r>
      <w:r>
        <w:rPr>
          <w:rStyle w:val="17"/>
          <w:rFonts w:hint="eastAsia" w:ascii="仿宋" w:hAnsi="仿宋" w:eastAsia="仿宋"/>
          <w:b w:val="0"/>
          <w:bCs w:val="0"/>
          <w:highlight w:val="none"/>
        </w:rPr>
        <w:t>入支出决算总表</w:t>
      </w:r>
    </w:p>
    <w:p>
      <w:pPr>
        <w:ind w:left="-840" w:leftChars="-600" w:hanging="420" w:hangingChars="200"/>
        <w:rPr>
          <w:rFonts w:hint="eastAsia"/>
          <w:lang w:eastAsia="zh-CN"/>
        </w:rPr>
      </w:pPr>
      <w:r>
        <w:rPr>
          <w:rFonts w:hint="eastAsia"/>
          <w:lang w:eastAsia="zh-CN"/>
        </w:rPr>
        <w:object>
          <v:shape id="_x0000_i1029" o:spt="75" type="#_x0000_t75" style="height:509.8pt;width:538.3pt;" o:ole="t" filled="f" o:preferrelative="t" stroked="f" coordsize="21600,21600">
            <v:path/>
            <v:fill on="f" focussize="0,0"/>
            <v:stroke on="f"/>
            <v:imagedata r:id="rId14" o:title=""/>
            <o:lock v:ext="edit" aspectratio="t"/>
            <w10:wrap type="none"/>
            <w10:anchorlock/>
          </v:shape>
          <o:OLEObject Type="Embed" ProgID="Excel.Sheet.12" ShapeID="_x0000_i1029" DrawAspect="Content" ObjectID="_1468075725" r:id="rId13">
            <o:LockedField>false</o:LockedField>
          </o:OLEObject>
        </w:object>
      </w:r>
    </w:p>
    <w:p>
      <w:pPr>
        <w:pStyle w:val="2"/>
        <w:rPr>
          <w:rStyle w:val="17"/>
          <w:rFonts w:hint="eastAsia" w:ascii="仿宋" w:hAnsi="仿宋" w:eastAsia="仿宋"/>
          <w:b w:val="0"/>
          <w:bCs w:val="0"/>
          <w:highlight w:val="none"/>
        </w:rPr>
      </w:pPr>
    </w:p>
    <w:p>
      <w:pPr>
        <w:pStyle w:val="2"/>
        <w:rPr>
          <w:rStyle w:val="17"/>
          <w:rFonts w:hint="eastAsia" w:ascii="仿宋" w:hAnsi="仿宋" w:eastAsia="仿宋"/>
          <w:b w:val="0"/>
          <w:bCs w:val="0"/>
          <w:highlight w:val="none"/>
        </w:rPr>
      </w:pPr>
    </w:p>
    <w:p>
      <w:pPr>
        <w:pStyle w:val="5"/>
        <w:rPr>
          <w:rStyle w:val="17"/>
          <w:rFonts w:hint="eastAsia" w:ascii="仿宋" w:hAnsi="仿宋" w:eastAsia="仿宋"/>
          <w:b w:val="0"/>
          <w:bCs w:val="0"/>
          <w:highlight w:val="none"/>
        </w:rPr>
      </w:pPr>
      <w:r>
        <w:rPr>
          <w:rFonts w:hint="eastAsia" w:ascii="仿宋" w:hAnsi="仿宋" w:eastAsia="仿宋"/>
          <w:b w:val="0"/>
          <w:color w:val="000000"/>
          <w:highlight w:val="none"/>
        </w:rPr>
        <w:t>二、收</w:t>
      </w:r>
      <w:r>
        <w:rPr>
          <w:rStyle w:val="17"/>
          <w:rFonts w:hint="eastAsia" w:ascii="仿宋" w:hAnsi="仿宋" w:eastAsia="仿宋"/>
          <w:b w:val="0"/>
          <w:bCs w:val="0"/>
          <w:highlight w:val="none"/>
        </w:rPr>
        <w:t>入决算表</w:t>
      </w:r>
    </w:p>
    <w:p>
      <w:pPr>
        <w:ind w:left="0" w:leftChars="-600" w:hanging="1260" w:hangingChars="600"/>
        <w:rPr>
          <w:rFonts w:hint="eastAsia" w:eastAsia="宋体"/>
          <w:lang w:eastAsia="zh-CN"/>
        </w:rPr>
      </w:pPr>
      <w:r>
        <w:rPr>
          <w:rFonts w:hint="eastAsia" w:eastAsia="宋体"/>
          <w:lang w:eastAsia="zh-CN"/>
        </w:rPr>
        <w:object>
          <v:shape id="_x0000_i1031" o:spt="75" type="#_x0000_t75" style="height:331.4pt;width:561.55pt;" o:ole="t" filled="f" o:preferrelative="t" stroked="f" coordsize="21600,21600">
            <v:path/>
            <v:fill on="f" focussize="0,0"/>
            <v:stroke on="f"/>
            <v:imagedata r:id="rId16" o:title=""/>
            <o:lock v:ext="edit" aspectratio="t"/>
            <w10:wrap type="none"/>
            <w10:anchorlock/>
          </v:shape>
          <o:OLEObject Type="Embed" ProgID="Excel.Sheet.12" ShapeID="_x0000_i1031" DrawAspect="Content" ObjectID="_1468075726" r:id="rId15">
            <o:LockedField>false</o:LockedField>
          </o:OLEObject>
        </w:object>
      </w:r>
    </w:p>
    <w:p>
      <w:pPr>
        <w:rPr>
          <w:rFonts w:hint="eastAsia" w:eastAsia="宋体"/>
          <w:lang w:eastAsia="zh-CN"/>
        </w:rPr>
      </w:pPr>
      <w:r>
        <w:rPr>
          <w:rFonts w:hint="eastAsia" w:eastAsia="宋体"/>
          <w:lang w:eastAsia="zh-CN"/>
        </w:rPr>
        <w:object>
          <v:shape id="_x0000_i1025" o:spt="75" type="#_x0000_t75" style="height:21pt;width:17.25pt;" o:ole="t" filled="f" o:preferrelative="t" stroked="f" coordsize="21600,21600">
            <v:path/>
            <v:fill on="f" focussize="0,0"/>
            <v:stroke on="f"/>
            <v:imagedata r:id="rId18" o:title=""/>
            <o:lock v:ext="edit" aspectratio="t"/>
            <w10:wrap type="none"/>
            <w10:anchorlock/>
          </v:shape>
          <o:OLEObject Type="Embed" ProgID="Excel.Sheet.12" ShapeID="_x0000_i1025" DrawAspect="Content" ObjectID="_1468075727" r:id="rId17">
            <o:LockedField>false</o:LockedField>
          </o:OLEObject>
        </w:object>
      </w:r>
    </w:p>
    <w:p>
      <w:pPr>
        <w:rPr>
          <w:rFonts w:hint="eastAsia" w:eastAsia="宋体"/>
          <w:lang w:eastAsia="zh-CN"/>
        </w:rPr>
      </w:pPr>
      <w:r>
        <w:rPr>
          <w:rFonts w:hint="eastAsia" w:eastAsia="宋体"/>
          <w:lang w:eastAsia="zh-CN"/>
        </w:rPr>
        <w:object>
          <v:shape id="_x0000_i1026" o:spt="75" type="#_x0000_t75" style="height:21pt;width:17.25pt;" o:ole="t" filled="f" o:preferrelative="t" stroked="f" coordsize="21600,21600">
            <v:path/>
            <v:fill on="f" focussize="0,0"/>
            <v:stroke on="f"/>
            <v:imagedata r:id="rId20" o:title=""/>
            <o:lock v:ext="edit" aspectratio="t"/>
            <w10:wrap type="none"/>
            <w10:anchorlock/>
          </v:shape>
          <o:OLEObject Type="Embed" ProgID="Excel.Sheet.12" ShapeID="_x0000_i1026" DrawAspect="Content" ObjectID="_1468075728" r:id="rId19">
            <o:LockedField>false</o:LockedField>
          </o:OLEObject>
        </w:object>
      </w:r>
      <w:r>
        <w:rPr>
          <w:rFonts w:hint="eastAsia" w:eastAsia="宋体"/>
          <w:lang w:eastAsia="zh-CN"/>
        </w:rPr>
        <w:object>
          <v:shape id="_x0000_i1027" o:spt="75" type="#_x0000_t75" style="height:21pt;width:17.25pt;" o:ole="t" filled="f" o:preferrelative="t" stroked="f" coordsize="21600,21600">
            <v:path/>
            <v:fill on="f" focussize="0,0"/>
            <v:stroke on="f"/>
            <v:imagedata r:id="rId22" o:title=""/>
            <o:lock v:ext="edit" aspectratio="t"/>
            <w10:wrap type="none"/>
            <w10:anchorlock/>
          </v:shape>
          <o:OLEObject Type="Embed" ProgID="Excel.Sheet.12" ShapeID="_x0000_i1027" DrawAspect="Content" ObjectID="_1468075729" r:id="rId21">
            <o:LockedField>false</o:LockedField>
          </o:OLEObject>
        </w:object>
      </w:r>
    </w:p>
    <w:p>
      <w:pPr>
        <w:pStyle w:val="5"/>
        <w:rPr>
          <w:rStyle w:val="17"/>
          <w:rFonts w:hint="eastAsia" w:ascii="仿宋" w:hAnsi="仿宋" w:eastAsia="仿宋"/>
          <w:b w:val="0"/>
          <w:bCs w:val="0"/>
          <w:highlight w:val="none"/>
        </w:rPr>
      </w:pPr>
    </w:p>
    <w:p>
      <w:pPr>
        <w:rPr>
          <w:rStyle w:val="17"/>
          <w:rFonts w:hint="eastAsia" w:ascii="仿宋" w:hAnsi="仿宋" w:eastAsia="仿宋"/>
          <w:b w:val="0"/>
          <w:bCs w:val="0"/>
          <w:highlight w:val="none"/>
        </w:rPr>
      </w:pPr>
    </w:p>
    <w:p>
      <w:pPr>
        <w:pStyle w:val="2"/>
        <w:rPr>
          <w:rStyle w:val="17"/>
          <w:rFonts w:hint="eastAsia" w:ascii="仿宋" w:hAnsi="仿宋" w:eastAsia="仿宋"/>
          <w:b w:val="0"/>
          <w:bCs w:val="0"/>
          <w:highlight w:val="none"/>
        </w:rPr>
      </w:pPr>
    </w:p>
    <w:p>
      <w:pPr>
        <w:pStyle w:val="2"/>
        <w:rPr>
          <w:rStyle w:val="17"/>
          <w:rFonts w:hint="eastAsia" w:ascii="仿宋" w:hAnsi="仿宋" w:eastAsia="仿宋"/>
          <w:b w:val="0"/>
          <w:bCs w:val="0"/>
          <w:highlight w:val="none"/>
        </w:rPr>
      </w:pPr>
    </w:p>
    <w:p>
      <w:pPr>
        <w:pStyle w:val="2"/>
        <w:rPr>
          <w:rStyle w:val="17"/>
          <w:rFonts w:hint="eastAsia" w:ascii="仿宋" w:hAnsi="仿宋" w:eastAsia="仿宋"/>
          <w:b w:val="0"/>
          <w:bCs w:val="0"/>
          <w:highlight w:val="none"/>
        </w:rPr>
      </w:pPr>
    </w:p>
    <w:p>
      <w:pPr>
        <w:pStyle w:val="5"/>
        <w:rPr>
          <w:rStyle w:val="17"/>
          <w:rFonts w:hint="eastAsia" w:ascii="仿宋" w:hAnsi="仿宋" w:eastAsia="仿宋"/>
          <w:b w:val="0"/>
          <w:bCs w:val="0"/>
          <w:highlight w:val="none"/>
        </w:rPr>
      </w:pPr>
      <w:r>
        <w:rPr>
          <w:rStyle w:val="17"/>
          <w:rFonts w:hint="eastAsia" w:ascii="仿宋" w:hAnsi="仿宋" w:eastAsia="仿宋"/>
          <w:b w:val="0"/>
          <w:bCs w:val="0"/>
          <w:highlight w:val="none"/>
        </w:rPr>
        <w:t>三、</w:t>
      </w:r>
      <w:r>
        <w:rPr>
          <w:rFonts w:hint="eastAsia" w:ascii="仿宋" w:hAnsi="仿宋" w:eastAsia="仿宋"/>
          <w:b w:val="0"/>
          <w:color w:val="000000"/>
          <w:highlight w:val="none"/>
        </w:rPr>
        <w:t>支</w:t>
      </w:r>
      <w:r>
        <w:rPr>
          <w:rStyle w:val="17"/>
          <w:rFonts w:hint="eastAsia" w:ascii="仿宋" w:hAnsi="仿宋" w:eastAsia="仿宋"/>
          <w:b w:val="0"/>
          <w:bCs w:val="0"/>
          <w:highlight w:val="none"/>
        </w:rPr>
        <w:t>出决算表</w:t>
      </w:r>
    </w:p>
    <w:p>
      <w:pPr>
        <w:ind w:left="0" w:leftChars="-600" w:hanging="1260" w:hangingChars="600"/>
        <w:rPr>
          <w:rFonts w:hint="eastAsia" w:eastAsia="宋体"/>
          <w:lang w:eastAsia="zh-CN"/>
        </w:rPr>
      </w:pPr>
      <w:r>
        <w:rPr>
          <w:rFonts w:hint="eastAsia" w:eastAsia="宋体"/>
          <w:lang w:eastAsia="zh-CN"/>
        </w:rPr>
        <w:object>
          <v:shape id="_x0000_i1032" o:spt="75" type="#_x0000_t75" style="height:292.85pt;width:561.55pt;" o:ole="t" filled="f" o:preferrelative="t" stroked="f" coordsize="21600,21600">
            <v:path/>
            <v:fill on="f" focussize="0,0"/>
            <v:stroke on="f"/>
            <v:imagedata r:id="rId24" o:title=""/>
            <o:lock v:ext="edit" aspectratio="t"/>
            <w10:wrap type="none"/>
            <w10:anchorlock/>
          </v:shape>
          <o:OLEObject Type="Embed" ProgID="Excel.Sheet.12" ShapeID="_x0000_i1032" DrawAspect="Content" ObjectID="_1468075730" r:id="rId23">
            <o:LockedField>false</o:LockedField>
          </o:OLEObject>
        </w:object>
      </w:r>
    </w:p>
    <w:p>
      <w:pPr>
        <w:pStyle w:val="5"/>
        <w:rPr>
          <w:rStyle w:val="17"/>
          <w:rFonts w:hint="eastAsia" w:ascii="仿宋" w:hAnsi="仿宋" w:eastAsia="仿宋"/>
          <w:b w:val="0"/>
          <w:bCs w:val="0"/>
          <w:highlight w:val="none"/>
        </w:rPr>
      </w:pPr>
      <w:r>
        <w:rPr>
          <w:rStyle w:val="17"/>
          <w:rFonts w:hint="eastAsia" w:ascii="仿宋" w:hAnsi="仿宋" w:eastAsia="仿宋"/>
          <w:b w:val="0"/>
          <w:bCs w:val="0"/>
          <w:highlight w:val="none"/>
        </w:rPr>
        <w:t>四、</w:t>
      </w:r>
      <w:r>
        <w:rPr>
          <w:rFonts w:hint="eastAsia" w:ascii="仿宋" w:hAnsi="仿宋" w:eastAsia="仿宋"/>
          <w:b w:val="0"/>
          <w:color w:val="000000"/>
          <w:highlight w:val="none"/>
        </w:rPr>
        <w:t>财</w:t>
      </w:r>
      <w:r>
        <w:rPr>
          <w:rStyle w:val="17"/>
          <w:rFonts w:hint="eastAsia" w:ascii="仿宋" w:hAnsi="仿宋" w:eastAsia="仿宋"/>
          <w:b w:val="0"/>
          <w:bCs w:val="0"/>
          <w:highlight w:val="none"/>
        </w:rPr>
        <w:t>政拨款收入支出决算总表</w:t>
      </w:r>
    </w:p>
    <w:p>
      <w:pPr>
        <w:ind w:left="0" w:leftChars="-600" w:hanging="1260" w:hangingChars="600"/>
        <w:rPr>
          <w:rFonts w:hint="eastAsia" w:eastAsia="宋体"/>
          <w:lang w:eastAsia="zh-CN"/>
        </w:rPr>
      </w:pPr>
      <w:r>
        <w:rPr>
          <w:rFonts w:hint="eastAsia" w:eastAsia="宋体"/>
          <w:lang w:eastAsia="zh-CN"/>
        </w:rPr>
        <w:object>
          <v:shape id="_x0000_i1033" o:spt="75" type="#_x0000_t75" style="height:343.5pt;width:589.85pt;" o:ole="t" filled="f" o:preferrelative="t" stroked="f" coordsize="21600,21600">
            <v:path/>
            <v:fill on="f" focussize="0,0"/>
            <v:stroke on="f"/>
            <v:imagedata r:id="rId26" o:title=""/>
            <o:lock v:ext="edit" aspectratio="t"/>
            <w10:wrap type="none"/>
            <w10:anchorlock/>
          </v:shape>
          <o:OLEObject Type="Embed" ProgID="Excel.Sheet.12" ShapeID="_x0000_i1033" DrawAspect="Content" ObjectID="_1468075731" r:id="rId25">
            <o:LockedField>false</o:LockedField>
          </o:OLEObject>
        </w:object>
      </w:r>
    </w:p>
    <w:p>
      <w:pPr>
        <w:pStyle w:val="5"/>
        <w:rPr>
          <w:rStyle w:val="17"/>
          <w:rFonts w:ascii="仿宋" w:hAnsi="仿宋" w:eastAsia="仿宋"/>
          <w:b w:val="0"/>
          <w:bCs w:val="0"/>
          <w:highlight w:val="none"/>
        </w:rPr>
      </w:pPr>
      <w:r>
        <w:rPr>
          <w:rStyle w:val="17"/>
          <w:rFonts w:hint="eastAsia" w:ascii="仿宋" w:hAnsi="仿宋" w:eastAsia="仿宋"/>
          <w:b w:val="0"/>
          <w:bCs w:val="0"/>
          <w:highlight w:val="none"/>
        </w:rPr>
        <w:t>五、</w:t>
      </w:r>
      <w:r>
        <w:rPr>
          <w:rFonts w:hint="eastAsia" w:ascii="仿宋" w:hAnsi="仿宋" w:eastAsia="仿宋"/>
          <w:b w:val="0"/>
          <w:color w:val="000000"/>
          <w:highlight w:val="none"/>
        </w:rPr>
        <w:t>财</w:t>
      </w:r>
      <w:r>
        <w:rPr>
          <w:rStyle w:val="17"/>
          <w:rFonts w:hint="eastAsia" w:ascii="仿宋" w:hAnsi="仿宋" w:eastAsia="仿宋"/>
          <w:b w:val="0"/>
          <w:bCs w:val="0"/>
          <w:highlight w:val="none"/>
        </w:rPr>
        <w:t>政拨款支出决算明细表</w:t>
      </w:r>
    </w:p>
    <w:p>
      <w:pPr>
        <w:pStyle w:val="5"/>
        <w:ind w:left="-3" w:leftChars="-600" w:right="-92" w:rightChars="-44" w:hanging="1257" w:hangingChars="393"/>
        <w:rPr>
          <w:rStyle w:val="17"/>
          <w:rFonts w:hint="eastAsia" w:ascii="仿宋" w:hAnsi="仿宋" w:eastAsia="仿宋"/>
          <w:b w:val="0"/>
          <w:bCs w:val="0"/>
          <w:highlight w:val="none"/>
          <w:lang w:eastAsia="zh-CN"/>
        </w:rPr>
      </w:pPr>
      <w:r>
        <w:rPr>
          <w:rStyle w:val="17"/>
          <w:rFonts w:hint="eastAsia" w:ascii="仿宋" w:hAnsi="仿宋" w:eastAsia="仿宋"/>
          <w:b w:val="0"/>
          <w:bCs w:val="0"/>
          <w:highlight w:val="none"/>
          <w:lang w:eastAsia="zh-CN"/>
        </w:rPr>
        <w:object>
          <v:shape id="_x0000_i1045" o:spt="75" type="#_x0000_t75" style="height:739.45pt;width:497.2pt;" o:ole="t" filled="f" o:preferrelative="t" stroked="f" coordsize="21600,21600">
            <v:path/>
            <v:fill on="f" focussize="0,0"/>
            <v:stroke on="f"/>
            <v:imagedata r:id="rId28" o:title=""/>
            <o:lock v:ext="edit" aspectratio="t"/>
            <w10:wrap type="none"/>
            <w10:anchorlock/>
          </v:shape>
          <o:OLEObject Type="Embed" ProgID="Excel.Sheet.12" ShapeID="_x0000_i1045" DrawAspect="Content" ObjectID="_1468075732" r:id="rId27">
            <o:LockedField>false</o:LockedField>
          </o:OLEObject>
        </w:object>
      </w:r>
    </w:p>
    <w:p>
      <w:pPr>
        <w:pStyle w:val="5"/>
        <w:rPr>
          <w:rFonts w:ascii="仿宋" w:hAnsi="仿宋" w:eastAsia="仿宋"/>
          <w:color w:val="000000"/>
          <w:highlight w:val="none"/>
        </w:rPr>
      </w:pPr>
      <w:r>
        <w:rPr>
          <w:rStyle w:val="17"/>
          <w:rFonts w:hint="eastAsia" w:ascii="仿宋" w:hAnsi="仿宋" w:eastAsia="仿宋"/>
          <w:b w:val="0"/>
          <w:bCs w:val="0"/>
          <w:highlight w:val="none"/>
        </w:rPr>
        <w:t>六、</w:t>
      </w:r>
      <w:r>
        <w:rPr>
          <w:rFonts w:hint="eastAsia" w:ascii="仿宋" w:hAnsi="仿宋" w:eastAsia="仿宋"/>
          <w:b w:val="0"/>
          <w:color w:val="000000"/>
          <w:highlight w:val="none"/>
        </w:rPr>
        <w:t>一</w:t>
      </w:r>
      <w:r>
        <w:rPr>
          <w:rStyle w:val="17"/>
          <w:rFonts w:hint="eastAsia" w:ascii="仿宋" w:hAnsi="仿宋" w:eastAsia="仿宋"/>
          <w:b w:val="0"/>
          <w:bCs w:val="0"/>
          <w:highlight w:val="none"/>
        </w:rPr>
        <w:t>般公共预算财政拨款支出决算表</w:t>
      </w:r>
    </w:p>
    <w:p>
      <w:pPr>
        <w:pStyle w:val="5"/>
        <w:ind w:left="-3" w:leftChars="-600" w:hanging="1257" w:hangingChars="393"/>
        <w:rPr>
          <w:rStyle w:val="17"/>
          <w:rFonts w:hint="eastAsia" w:ascii="仿宋" w:hAnsi="仿宋" w:eastAsia="仿宋"/>
          <w:b w:val="0"/>
          <w:bCs w:val="0"/>
          <w:highlight w:val="none"/>
          <w:lang w:eastAsia="zh-CN"/>
        </w:rPr>
      </w:pPr>
      <w:r>
        <w:rPr>
          <w:rStyle w:val="17"/>
          <w:rFonts w:hint="eastAsia" w:ascii="仿宋" w:hAnsi="仿宋" w:eastAsia="仿宋"/>
          <w:b w:val="0"/>
          <w:bCs w:val="0"/>
          <w:highlight w:val="none"/>
          <w:lang w:eastAsia="zh-CN"/>
        </w:rPr>
        <w:object>
          <v:shape id="_x0000_i1037" o:spt="75" alt="" type="#_x0000_t75" style="height:430.5pt;width:697.25pt;" o:ole="t" filled="f" o:preferrelative="t" stroked="f" coordsize="21600,21600">
            <v:path/>
            <v:fill on="f" focussize="0,0"/>
            <v:stroke on="f"/>
            <v:imagedata r:id="rId30" o:title=""/>
            <o:lock v:ext="edit" aspectratio="t"/>
            <w10:wrap type="none"/>
            <w10:anchorlock/>
          </v:shape>
          <o:OLEObject Type="Embed" ProgID="Excel.Sheet.12" ShapeID="_x0000_i1037" DrawAspect="Content" ObjectID="_1468075733" r:id="rId29">
            <o:LockedField>false</o:LockedField>
          </o:OLEObject>
        </w:object>
      </w:r>
    </w:p>
    <w:p>
      <w:pPr>
        <w:rPr>
          <w:rFonts w:hint="eastAsia"/>
          <w:lang w:eastAsia="zh-CN"/>
        </w:rPr>
      </w:pPr>
    </w:p>
    <w:p>
      <w:pPr>
        <w:pStyle w:val="2"/>
        <w:rPr>
          <w:rFonts w:hint="eastAsia"/>
          <w:lang w:eastAsia="zh-CN"/>
        </w:rPr>
      </w:pPr>
    </w:p>
    <w:p>
      <w:pPr>
        <w:pStyle w:val="5"/>
        <w:rPr>
          <w:rStyle w:val="17"/>
          <w:rFonts w:hint="eastAsia" w:ascii="仿宋" w:hAnsi="仿宋" w:eastAsia="仿宋"/>
          <w:b w:val="0"/>
          <w:bCs w:val="0"/>
          <w:highlight w:val="none"/>
          <w:lang w:val="en-US" w:eastAsia="zh-CN"/>
        </w:rPr>
      </w:pPr>
      <w:r>
        <w:rPr>
          <w:rStyle w:val="17"/>
          <w:rFonts w:hint="eastAsia" w:ascii="仿宋" w:hAnsi="仿宋" w:eastAsia="仿宋"/>
          <w:b w:val="0"/>
          <w:bCs w:val="0"/>
          <w:highlight w:val="none"/>
        </w:rPr>
        <w:t>七、</w:t>
      </w:r>
      <w:r>
        <w:rPr>
          <w:rFonts w:hint="eastAsia" w:ascii="仿宋" w:hAnsi="仿宋" w:eastAsia="仿宋"/>
          <w:b w:val="0"/>
          <w:color w:val="000000"/>
          <w:highlight w:val="none"/>
        </w:rPr>
        <w:t>一</w:t>
      </w:r>
      <w:r>
        <w:rPr>
          <w:rStyle w:val="17"/>
          <w:rFonts w:hint="eastAsia" w:ascii="仿宋" w:hAnsi="仿宋" w:eastAsia="仿宋"/>
          <w:b w:val="0"/>
          <w:bCs w:val="0"/>
          <w:highlight w:val="none"/>
        </w:rPr>
        <w:t>般公共预算财政拨款支出决算明细表</w:t>
      </w:r>
    </w:p>
    <w:p>
      <w:pPr>
        <w:pStyle w:val="2"/>
        <w:ind w:left="-3" w:leftChars="-695" w:hanging="1456" w:hangingChars="455"/>
        <w:rPr>
          <w:rStyle w:val="17"/>
          <w:rFonts w:hint="default" w:ascii="仿宋" w:hAnsi="仿宋" w:eastAsia="仿宋"/>
          <w:b w:val="0"/>
          <w:bCs w:val="0"/>
          <w:highlight w:val="none"/>
          <w:lang w:val="en-US" w:eastAsia="zh-CN"/>
        </w:rPr>
      </w:pPr>
      <w:r>
        <w:rPr>
          <w:rStyle w:val="17"/>
          <w:rFonts w:hint="default" w:ascii="仿宋" w:hAnsi="仿宋" w:eastAsia="仿宋"/>
          <w:b w:val="0"/>
          <w:bCs w:val="0"/>
          <w:highlight w:val="none"/>
          <w:lang w:val="en-US" w:eastAsia="zh-CN"/>
        </w:rPr>
        <w:drawing>
          <wp:inline distT="0" distB="0" distL="114300" distR="114300">
            <wp:extent cx="7249795" cy="2632710"/>
            <wp:effectExtent l="0" t="0" r="8255" b="15240"/>
            <wp:docPr id="11" name="图片 11" descr="ME%660690D}YP}6@W@W_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ME%660690D}YP}6@W@W_C(D"/>
                    <pic:cNvPicPr>
                      <a:picLocks noChangeAspect="1"/>
                    </pic:cNvPicPr>
                  </pic:nvPicPr>
                  <pic:blipFill>
                    <a:blip r:embed="rId31"/>
                    <a:stretch>
                      <a:fillRect/>
                    </a:stretch>
                  </pic:blipFill>
                  <pic:spPr>
                    <a:xfrm>
                      <a:off x="0" y="0"/>
                      <a:ext cx="7249795" cy="2632710"/>
                    </a:xfrm>
                    <a:prstGeom prst="rect">
                      <a:avLst/>
                    </a:prstGeom>
                  </pic:spPr>
                </pic:pic>
              </a:graphicData>
            </a:graphic>
          </wp:inline>
        </w:drawing>
      </w:r>
    </w:p>
    <w:p>
      <w:pPr>
        <w:pStyle w:val="2"/>
        <w:ind w:left="-1441" w:leftChars="-694" w:hanging="16" w:hangingChars="5"/>
        <w:rPr>
          <w:rStyle w:val="17"/>
          <w:rFonts w:hint="default" w:ascii="仿宋" w:hAnsi="仿宋" w:eastAsia="仿宋"/>
          <w:b w:val="0"/>
          <w:bCs w:val="0"/>
          <w:highlight w:val="none"/>
          <w:lang w:val="en-US" w:eastAsia="zh-CN"/>
        </w:rPr>
      </w:pPr>
      <w:r>
        <w:rPr>
          <w:rStyle w:val="17"/>
          <w:rFonts w:hint="default" w:ascii="仿宋" w:hAnsi="仿宋" w:eastAsia="仿宋"/>
          <w:b w:val="0"/>
          <w:bCs w:val="0"/>
          <w:highlight w:val="none"/>
          <w:lang w:val="en-US" w:eastAsia="zh-CN"/>
        </w:rPr>
        <w:drawing>
          <wp:inline distT="0" distB="0" distL="114300" distR="114300">
            <wp:extent cx="7204710" cy="2682875"/>
            <wp:effectExtent l="0" t="0" r="15240" b="3175"/>
            <wp:docPr id="12" name="图片 12" descr="{A]S)HG%NHSF75HMYOP`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A]S)HG%NHSF75HMYOP`2@5"/>
                    <pic:cNvPicPr>
                      <a:picLocks noChangeAspect="1"/>
                    </pic:cNvPicPr>
                  </pic:nvPicPr>
                  <pic:blipFill>
                    <a:blip r:embed="rId32"/>
                    <a:stretch>
                      <a:fillRect/>
                    </a:stretch>
                  </pic:blipFill>
                  <pic:spPr>
                    <a:xfrm>
                      <a:off x="0" y="0"/>
                      <a:ext cx="7204710" cy="2682875"/>
                    </a:xfrm>
                    <a:prstGeom prst="rect">
                      <a:avLst/>
                    </a:prstGeom>
                  </pic:spPr>
                </pic:pic>
              </a:graphicData>
            </a:graphic>
          </wp:inline>
        </w:drawing>
      </w:r>
      <w:r>
        <w:rPr>
          <w:rStyle w:val="17"/>
          <w:rFonts w:hint="default" w:ascii="仿宋" w:hAnsi="仿宋" w:eastAsia="仿宋"/>
          <w:b w:val="0"/>
          <w:bCs w:val="0"/>
          <w:highlight w:val="none"/>
          <w:lang w:val="en-US" w:eastAsia="zh-CN"/>
        </w:rPr>
        <w:drawing>
          <wp:inline distT="0" distB="0" distL="114300" distR="114300">
            <wp:extent cx="7012305" cy="2723515"/>
            <wp:effectExtent l="0" t="0" r="17145" b="635"/>
            <wp:docPr id="13" name="图片 13" descr="B4@DD0BFB90QYA_YBVI5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B4@DD0BFB90QYA_YBVI5_`P"/>
                    <pic:cNvPicPr>
                      <a:picLocks noChangeAspect="1"/>
                    </pic:cNvPicPr>
                  </pic:nvPicPr>
                  <pic:blipFill>
                    <a:blip r:embed="rId33"/>
                    <a:stretch>
                      <a:fillRect/>
                    </a:stretch>
                  </pic:blipFill>
                  <pic:spPr>
                    <a:xfrm>
                      <a:off x="0" y="0"/>
                      <a:ext cx="7012305" cy="2723515"/>
                    </a:xfrm>
                    <a:prstGeom prst="rect">
                      <a:avLst/>
                    </a:prstGeom>
                  </pic:spPr>
                </pic:pic>
              </a:graphicData>
            </a:graphic>
          </wp:inline>
        </w:drawing>
      </w:r>
    </w:p>
    <w:p>
      <w:pPr>
        <w:pStyle w:val="5"/>
        <w:ind w:left="-1459" w:leftChars="-695" w:firstLine="0" w:firstLineChars="0"/>
        <w:rPr>
          <w:rStyle w:val="17"/>
          <w:rFonts w:hint="eastAsia" w:ascii="仿宋" w:hAnsi="仿宋" w:eastAsia="仿宋"/>
          <w:b w:val="0"/>
          <w:bCs w:val="0"/>
          <w:highlight w:val="none"/>
          <w:lang w:eastAsia="zh-CN"/>
        </w:rPr>
      </w:pPr>
      <w:r>
        <w:rPr>
          <w:rStyle w:val="17"/>
          <w:rFonts w:hint="eastAsia" w:ascii="仿宋" w:hAnsi="仿宋" w:eastAsia="仿宋"/>
          <w:b w:val="0"/>
          <w:bCs w:val="0"/>
          <w:highlight w:val="none"/>
          <w:lang w:eastAsia="zh-CN"/>
        </w:rPr>
        <w:drawing>
          <wp:inline distT="0" distB="0" distL="114300" distR="114300">
            <wp:extent cx="7084060" cy="2614295"/>
            <wp:effectExtent l="0" t="0" r="2540" b="14605"/>
            <wp:docPr id="15" name="图片 15" descr="D0X45HVI`_~SPZ6H0~PSV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D0X45HVI`_~SPZ6H0~PSV9Y"/>
                    <pic:cNvPicPr>
                      <a:picLocks noChangeAspect="1"/>
                    </pic:cNvPicPr>
                  </pic:nvPicPr>
                  <pic:blipFill>
                    <a:blip r:embed="rId34"/>
                    <a:stretch>
                      <a:fillRect/>
                    </a:stretch>
                  </pic:blipFill>
                  <pic:spPr>
                    <a:xfrm>
                      <a:off x="0" y="0"/>
                      <a:ext cx="7084060" cy="2614295"/>
                    </a:xfrm>
                    <a:prstGeom prst="rect">
                      <a:avLst/>
                    </a:prstGeom>
                  </pic:spPr>
                </pic:pic>
              </a:graphicData>
            </a:graphic>
          </wp:inline>
        </w:drawing>
      </w:r>
    </w:p>
    <w:p>
      <w:pPr>
        <w:ind w:left="-1459" w:leftChars="-695" w:firstLine="0" w:firstLineChars="0"/>
        <w:rPr>
          <w:rFonts w:hint="eastAsia"/>
          <w:lang w:eastAsia="zh-CN"/>
        </w:rPr>
      </w:pPr>
      <w:r>
        <w:rPr>
          <w:rFonts w:hint="eastAsia"/>
          <w:lang w:eastAsia="zh-CN"/>
        </w:rPr>
        <w:drawing>
          <wp:inline distT="0" distB="0" distL="114300" distR="114300">
            <wp:extent cx="7204075" cy="2647950"/>
            <wp:effectExtent l="0" t="0" r="15875" b="0"/>
            <wp:docPr id="16" name="图片 16" descr="60`(Q]WMA)ZNEO6S]XSIL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60`(Q]WMA)ZNEO6S]XSILFS"/>
                    <pic:cNvPicPr>
                      <a:picLocks noChangeAspect="1"/>
                    </pic:cNvPicPr>
                  </pic:nvPicPr>
                  <pic:blipFill>
                    <a:blip r:embed="rId35"/>
                    <a:stretch>
                      <a:fillRect/>
                    </a:stretch>
                  </pic:blipFill>
                  <pic:spPr>
                    <a:xfrm>
                      <a:off x="0" y="0"/>
                      <a:ext cx="7204075" cy="2647950"/>
                    </a:xfrm>
                    <a:prstGeom prst="rect">
                      <a:avLst/>
                    </a:prstGeom>
                  </pic:spPr>
                </pic:pic>
              </a:graphicData>
            </a:graphic>
          </wp:inline>
        </w:drawing>
      </w:r>
    </w:p>
    <w:p>
      <w:pPr>
        <w:pStyle w:val="5"/>
        <w:rPr>
          <w:rFonts w:ascii="仿宋" w:hAnsi="仿宋" w:eastAsia="仿宋"/>
          <w:color w:val="000000"/>
          <w:highlight w:val="none"/>
        </w:rPr>
      </w:pPr>
      <w:r>
        <w:rPr>
          <w:rStyle w:val="17"/>
          <w:rFonts w:hint="eastAsia" w:ascii="仿宋" w:hAnsi="仿宋" w:eastAsia="仿宋"/>
          <w:b w:val="0"/>
          <w:bCs w:val="0"/>
          <w:highlight w:val="none"/>
        </w:rPr>
        <w:t>八、</w:t>
      </w:r>
      <w:r>
        <w:rPr>
          <w:rFonts w:hint="eastAsia" w:ascii="仿宋" w:hAnsi="仿宋" w:eastAsia="仿宋"/>
          <w:b w:val="0"/>
          <w:color w:val="000000"/>
          <w:highlight w:val="none"/>
        </w:rPr>
        <w:t>一</w:t>
      </w:r>
      <w:r>
        <w:rPr>
          <w:rStyle w:val="17"/>
          <w:rFonts w:hint="eastAsia" w:ascii="仿宋" w:hAnsi="仿宋" w:eastAsia="仿宋"/>
          <w:b w:val="0"/>
          <w:bCs w:val="0"/>
          <w:highlight w:val="none"/>
        </w:rPr>
        <w:t>般公共预算财政拨款基本支出决算表</w:t>
      </w:r>
    </w:p>
    <w:p>
      <w:pPr>
        <w:pStyle w:val="5"/>
        <w:ind w:left="-3" w:leftChars="-600" w:hanging="1257" w:hangingChars="393"/>
        <w:rPr>
          <w:rStyle w:val="17"/>
          <w:rFonts w:hint="eastAsia" w:ascii="仿宋" w:hAnsi="仿宋" w:eastAsia="仿宋"/>
          <w:b w:val="0"/>
          <w:bCs w:val="0"/>
          <w:highlight w:val="none"/>
          <w:lang w:eastAsia="zh-CN"/>
        </w:rPr>
      </w:pPr>
      <w:r>
        <w:rPr>
          <w:rStyle w:val="17"/>
          <w:rFonts w:hint="eastAsia" w:ascii="仿宋" w:hAnsi="仿宋" w:eastAsia="仿宋"/>
          <w:b w:val="0"/>
          <w:bCs w:val="0"/>
          <w:highlight w:val="none"/>
          <w:lang w:eastAsia="zh-CN"/>
        </w:rPr>
        <w:object>
          <v:shape id="_x0000_i1038" o:spt="75" type="#_x0000_t75" style="height:372.8pt;width:657.25pt;" o:ole="t" filled="f" o:preferrelative="t" stroked="f" coordsize="21600,21600">
            <v:path/>
            <v:fill on="f" focussize="0,0"/>
            <v:stroke on="f"/>
            <v:imagedata r:id="rId37" o:title=""/>
            <o:lock v:ext="edit" aspectratio="t"/>
            <w10:wrap type="none"/>
            <w10:anchorlock/>
          </v:shape>
          <o:OLEObject Type="Embed" ProgID="Excel.Sheet.12" ShapeID="_x0000_i1038" DrawAspect="Content" ObjectID="_1468075734" r:id="rId36">
            <o:LockedField>false</o:LockedField>
          </o:OLEObject>
        </w:object>
      </w:r>
    </w:p>
    <w:p>
      <w:pPr>
        <w:pStyle w:val="5"/>
        <w:rPr>
          <w:rStyle w:val="17"/>
          <w:rFonts w:hint="eastAsia" w:ascii="仿宋" w:hAnsi="仿宋" w:eastAsia="仿宋"/>
          <w:b w:val="0"/>
          <w:bCs w:val="0"/>
          <w:highlight w:val="none"/>
        </w:rPr>
      </w:pPr>
    </w:p>
    <w:p>
      <w:pPr>
        <w:pStyle w:val="5"/>
        <w:rPr>
          <w:rStyle w:val="17"/>
          <w:rFonts w:hint="eastAsia" w:ascii="仿宋" w:hAnsi="仿宋" w:eastAsia="仿宋"/>
          <w:b w:val="0"/>
          <w:bCs w:val="0"/>
          <w:highlight w:val="none"/>
        </w:rPr>
      </w:pPr>
    </w:p>
    <w:p>
      <w:pPr>
        <w:pStyle w:val="5"/>
        <w:rPr>
          <w:rStyle w:val="17"/>
          <w:rFonts w:hint="eastAsia" w:ascii="仿宋" w:hAnsi="仿宋" w:eastAsia="仿宋"/>
          <w:b w:val="0"/>
          <w:bCs w:val="0"/>
          <w:highlight w:val="none"/>
        </w:rPr>
      </w:pPr>
    </w:p>
    <w:p>
      <w:pPr>
        <w:pStyle w:val="5"/>
        <w:rPr>
          <w:rStyle w:val="17"/>
          <w:rFonts w:hint="eastAsia" w:ascii="仿宋" w:hAnsi="仿宋" w:eastAsia="仿宋"/>
          <w:b w:val="0"/>
          <w:bCs w:val="0"/>
          <w:highlight w:val="none"/>
        </w:rPr>
      </w:pPr>
    </w:p>
    <w:p>
      <w:pPr>
        <w:pStyle w:val="5"/>
        <w:rPr>
          <w:rStyle w:val="17"/>
          <w:rFonts w:hint="eastAsia" w:ascii="仿宋" w:hAnsi="仿宋" w:eastAsia="仿宋"/>
          <w:b w:val="0"/>
          <w:bCs w:val="0"/>
          <w:highlight w:val="none"/>
        </w:rPr>
      </w:pPr>
    </w:p>
    <w:p>
      <w:pPr>
        <w:pStyle w:val="5"/>
        <w:rPr>
          <w:rStyle w:val="17"/>
          <w:rFonts w:hint="eastAsia" w:ascii="仿宋" w:hAnsi="仿宋" w:eastAsia="仿宋"/>
          <w:b w:val="0"/>
          <w:bCs w:val="0"/>
          <w:highlight w:val="none"/>
        </w:rPr>
      </w:pPr>
      <w:r>
        <w:rPr>
          <w:rStyle w:val="17"/>
          <w:rFonts w:hint="eastAsia" w:ascii="仿宋" w:hAnsi="仿宋" w:eastAsia="仿宋"/>
          <w:b w:val="0"/>
          <w:bCs w:val="0"/>
          <w:highlight w:val="none"/>
        </w:rPr>
        <w:t>九、</w:t>
      </w:r>
      <w:r>
        <w:rPr>
          <w:rFonts w:hint="eastAsia" w:ascii="仿宋" w:hAnsi="仿宋" w:eastAsia="仿宋"/>
          <w:b w:val="0"/>
          <w:color w:val="000000"/>
          <w:highlight w:val="none"/>
        </w:rPr>
        <w:t>一</w:t>
      </w:r>
      <w:r>
        <w:rPr>
          <w:rStyle w:val="17"/>
          <w:rFonts w:hint="eastAsia" w:ascii="仿宋" w:hAnsi="仿宋" w:eastAsia="仿宋"/>
          <w:b w:val="0"/>
          <w:bCs w:val="0"/>
          <w:highlight w:val="none"/>
        </w:rPr>
        <w:t>般公共预算财政拨款项目支出决算表</w:t>
      </w:r>
    </w:p>
    <w:p>
      <w:pPr>
        <w:ind w:left="-1260" w:leftChars="-600" w:firstLine="0" w:firstLineChars="0"/>
        <w:rPr>
          <w:rFonts w:hint="eastAsia" w:eastAsia="宋体"/>
          <w:lang w:eastAsia="zh-CN"/>
        </w:rPr>
      </w:pPr>
      <w:r>
        <w:rPr>
          <w:rFonts w:hint="eastAsia" w:eastAsia="宋体"/>
          <w:lang w:eastAsia="zh-CN"/>
        </w:rPr>
        <w:object>
          <v:shape id="_x0000_i1039" o:spt="75" type="#_x0000_t75" style="height:495.1pt;width:751.45pt;" o:ole="t" filled="f" o:preferrelative="t" stroked="f" coordsize="21600,21600">
            <v:path/>
            <v:fill on="f" focussize="0,0"/>
            <v:stroke on="f"/>
            <v:imagedata r:id="rId39" o:title=""/>
            <o:lock v:ext="edit" aspectratio="t"/>
            <w10:wrap type="none"/>
            <w10:anchorlock/>
          </v:shape>
          <o:OLEObject Type="Embed" ProgID="Excel.Sheet.12" ShapeID="_x0000_i1039" DrawAspect="Content" ObjectID="_1468075735" r:id="rId38">
            <o:LockedField>false</o:LockedField>
          </o:OLEObject>
        </w:object>
      </w:r>
    </w:p>
    <w:p>
      <w:pPr>
        <w:pStyle w:val="5"/>
        <w:rPr>
          <w:rFonts w:ascii="仿宋" w:hAnsi="仿宋" w:eastAsia="仿宋"/>
          <w:color w:val="000000"/>
          <w:highlight w:val="none"/>
        </w:rPr>
      </w:pPr>
      <w:r>
        <w:rPr>
          <w:rStyle w:val="17"/>
          <w:rFonts w:hint="eastAsia" w:ascii="仿宋" w:hAnsi="仿宋" w:eastAsia="仿宋"/>
          <w:b w:val="0"/>
          <w:bCs w:val="0"/>
          <w:highlight w:val="none"/>
        </w:rPr>
        <w:t>十、</w:t>
      </w:r>
      <w:r>
        <w:rPr>
          <w:rFonts w:hint="eastAsia" w:ascii="仿宋" w:hAnsi="仿宋" w:eastAsia="仿宋"/>
          <w:b w:val="0"/>
          <w:color w:val="000000"/>
          <w:highlight w:val="none"/>
        </w:rPr>
        <w:t>一</w:t>
      </w:r>
      <w:r>
        <w:rPr>
          <w:rStyle w:val="17"/>
          <w:rFonts w:hint="eastAsia" w:ascii="仿宋" w:hAnsi="仿宋" w:eastAsia="仿宋"/>
          <w:b w:val="0"/>
          <w:bCs w:val="0"/>
          <w:highlight w:val="none"/>
        </w:rPr>
        <w:t>般公共预算财政拨款“三公”经费支出决算表</w:t>
      </w:r>
    </w:p>
    <w:p>
      <w:pPr>
        <w:pStyle w:val="5"/>
        <w:ind w:left="-3" w:leftChars="-600" w:hanging="1257" w:hangingChars="393"/>
        <w:rPr>
          <w:rStyle w:val="17"/>
          <w:rFonts w:hint="eastAsia" w:ascii="仿宋" w:hAnsi="仿宋" w:eastAsia="仿宋"/>
          <w:b w:val="0"/>
          <w:bCs w:val="0"/>
          <w:highlight w:val="none"/>
          <w:lang w:eastAsia="zh-CN"/>
        </w:rPr>
      </w:pPr>
      <w:r>
        <w:rPr>
          <w:rStyle w:val="17"/>
          <w:rFonts w:hint="eastAsia" w:ascii="仿宋" w:hAnsi="仿宋" w:eastAsia="仿宋"/>
          <w:b w:val="0"/>
          <w:bCs w:val="0"/>
          <w:highlight w:val="none"/>
          <w:lang w:eastAsia="zh-CN"/>
        </w:rPr>
        <w:object>
          <v:shape id="_x0000_i1040" o:spt="75" type="#_x0000_t75" style="height:427.35pt;width:741pt;" o:ole="t" filled="f" o:preferrelative="t" stroked="f" coordsize="21600,21600">
            <v:path/>
            <v:fill on="f" focussize="0,0"/>
            <v:stroke on="f"/>
            <v:imagedata r:id="rId41" o:title=""/>
            <o:lock v:ext="edit" aspectratio="t"/>
            <w10:wrap type="none"/>
            <w10:anchorlock/>
          </v:shape>
          <o:OLEObject Type="Embed" ProgID="Excel.Sheet.12" ShapeID="_x0000_i1040" DrawAspect="Content" ObjectID="_1468075736" r:id="rId40">
            <o:LockedField>false</o:LockedField>
          </o:OLEObject>
        </w:object>
      </w:r>
    </w:p>
    <w:p>
      <w:pPr>
        <w:rPr>
          <w:rStyle w:val="17"/>
          <w:rFonts w:hint="eastAsia" w:ascii="仿宋" w:hAnsi="仿宋" w:eastAsia="仿宋"/>
          <w:b w:val="0"/>
          <w:bCs w:val="0"/>
          <w:highlight w:val="none"/>
          <w:lang w:eastAsia="zh-CN"/>
        </w:rPr>
      </w:pPr>
    </w:p>
    <w:p>
      <w:pPr>
        <w:pStyle w:val="2"/>
        <w:rPr>
          <w:rFonts w:hint="eastAsia"/>
          <w:lang w:eastAsia="zh-CN"/>
        </w:rPr>
      </w:pPr>
    </w:p>
    <w:p>
      <w:pPr>
        <w:pStyle w:val="5"/>
        <w:rPr>
          <w:rFonts w:ascii="仿宋" w:hAnsi="仿宋" w:eastAsia="仿宋"/>
          <w:color w:val="000000"/>
          <w:highlight w:val="none"/>
        </w:rPr>
      </w:pPr>
      <w:r>
        <w:rPr>
          <w:rStyle w:val="17"/>
          <w:rFonts w:hint="eastAsia" w:ascii="仿宋" w:hAnsi="仿宋" w:eastAsia="仿宋"/>
          <w:b w:val="0"/>
          <w:bCs w:val="0"/>
          <w:highlight w:val="none"/>
        </w:rPr>
        <w:t>十一、</w:t>
      </w:r>
      <w:r>
        <w:rPr>
          <w:rFonts w:hint="eastAsia" w:ascii="仿宋" w:hAnsi="仿宋" w:eastAsia="仿宋"/>
          <w:b w:val="0"/>
          <w:color w:val="000000"/>
          <w:highlight w:val="none"/>
        </w:rPr>
        <w:t>政</w:t>
      </w:r>
      <w:r>
        <w:rPr>
          <w:rStyle w:val="17"/>
          <w:rFonts w:hint="eastAsia" w:ascii="仿宋" w:hAnsi="仿宋" w:eastAsia="仿宋"/>
          <w:b w:val="0"/>
          <w:bCs w:val="0"/>
          <w:highlight w:val="none"/>
        </w:rPr>
        <w:t>府性基金预算财政拨款收入支出决算表</w:t>
      </w:r>
    </w:p>
    <w:p>
      <w:pPr>
        <w:pStyle w:val="5"/>
        <w:ind w:left="-3" w:leftChars="-600" w:hanging="1257" w:hangingChars="393"/>
        <w:rPr>
          <w:rStyle w:val="17"/>
          <w:rFonts w:hint="eastAsia" w:ascii="仿宋" w:hAnsi="仿宋" w:eastAsia="仿宋"/>
          <w:b w:val="0"/>
          <w:bCs w:val="0"/>
          <w:highlight w:val="none"/>
          <w:lang w:eastAsia="zh-CN"/>
        </w:rPr>
      </w:pPr>
      <w:r>
        <w:rPr>
          <w:rStyle w:val="17"/>
          <w:rFonts w:hint="eastAsia" w:ascii="仿宋" w:hAnsi="仿宋" w:eastAsia="仿宋"/>
          <w:b w:val="0"/>
          <w:bCs w:val="0"/>
          <w:highlight w:val="none"/>
          <w:lang w:eastAsia="zh-CN"/>
        </w:rPr>
        <w:object>
          <v:shape id="_x0000_i1041" o:spt="75" type="#_x0000_t75" style="height:273.75pt;width:551.4pt;" o:ole="t" filled="f" o:preferrelative="t" stroked="f" coordsize="21600,21600">
            <v:path/>
            <v:fill on="f" focussize="0,0"/>
            <v:stroke on="f"/>
            <v:imagedata r:id="rId43" o:title=""/>
            <o:lock v:ext="edit" aspectratio="t"/>
            <w10:wrap type="none"/>
            <w10:anchorlock/>
          </v:shape>
          <o:OLEObject Type="Embed" ProgID="Excel.Sheet.12" ShapeID="_x0000_i1041" DrawAspect="Content" ObjectID="_1468075737" r:id="rId42">
            <o:LockedField>false</o:LockedField>
          </o:OLEObject>
        </w:object>
      </w:r>
    </w:p>
    <w:p>
      <w:pPr>
        <w:pStyle w:val="5"/>
        <w:ind w:left="-3" w:leftChars="-600" w:hanging="1257" w:hangingChars="393"/>
        <w:rPr>
          <w:rStyle w:val="17"/>
          <w:rFonts w:hint="eastAsia" w:ascii="仿宋" w:hAnsi="仿宋" w:eastAsia="仿宋"/>
          <w:b w:val="0"/>
          <w:bCs w:val="0"/>
          <w:highlight w:val="none"/>
          <w:lang w:eastAsia="zh-CN"/>
        </w:rPr>
      </w:pPr>
    </w:p>
    <w:p>
      <w:pPr>
        <w:pStyle w:val="5"/>
        <w:ind w:left="-3" w:leftChars="-600" w:hanging="1257" w:hangingChars="393"/>
        <w:rPr>
          <w:rStyle w:val="17"/>
          <w:rFonts w:hint="eastAsia" w:ascii="仿宋" w:hAnsi="仿宋" w:eastAsia="仿宋"/>
          <w:b w:val="0"/>
          <w:bCs w:val="0"/>
          <w:highlight w:val="none"/>
          <w:lang w:eastAsia="zh-CN"/>
        </w:rPr>
      </w:pPr>
    </w:p>
    <w:p>
      <w:pPr>
        <w:pStyle w:val="5"/>
        <w:ind w:left="-3" w:leftChars="-600" w:hanging="1257" w:hangingChars="393"/>
        <w:rPr>
          <w:rStyle w:val="17"/>
          <w:rFonts w:hint="eastAsia" w:ascii="仿宋" w:hAnsi="仿宋" w:eastAsia="仿宋"/>
          <w:b w:val="0"/>
          <w:bCs w:val="0"/>
          <w:highlight w:val="none"/>
          <w:lang w:eastAsia="zh-CN"/>
        </w:rPr>
      </w:pPr>
    </w:p>
    <w:p>
      <w:pPr>
        <w:pStyle w:val="5"/>
        <w:ind w:left="-3" w:leftChars="-600" w:hanging="1257" w:hangingChars="393"/>
        <w:rPr>
          <w:rStyle w:val="17"/>
          <w:rFonts w:hint="eastAsia" w:ascii="仿宋" w:hAnsi="仿宋" w:eastAsia="仿宋"/>
          <w:b w:val="0"/>
          <w:bCs w:val="0"/>
          <w:highlight w:val="none"/>
          <w:lang w:eastAsia="zh-CN"/>
        </w:rPr>
      </w:pPr>
    </w:p>
    <w:p>
      <w:pPr>
        <w:pStyle w:val="5"/>
        <w:ind w:left="-3" w:leftChars="-600" w:hanging="1257" w:hangingChars="393"/>
        <w:rPr>
          <w:rStyle w:val="17"/>
          <w:rFonts w:hint="eastAsia" w:ascii="仿宋" w:hAnsi="仿宋" w:eastAsia="仿宋"/>
          <w:b w:val="0"/>
          <w:bCs w:val="0"/>
          <w:highlight w:val="none"/>
          <w:lang w:eastAsia="zh-CN"/>
        </w:rPr>
      </w:pPr>
    </w:p>
    <w:p>
      <w:pPr>
        <w:pStyle w:val="5"/>
        <w:ind w:left="-3" w:leftChars="-600" w:hanging="1257" w:hangingChars="393"/>
        <w:rPr>
          <w:rStyle w:val="17"/>
          <w:rFonts w:hint="eastAsia" w:ascii="仿宋" w:hAnsi="仿宋" w:eastAsia="仿宋"/>
          <w:b w:val="0"/>
          <w:bCs w:val="0"/>
          <w:highlight w:val="none"/>
          <w:lang w:eastAsia="zh-CN"/>
        </w:rPr>
      </w:pPr>
    </w:p>
    <w:p>
      <w:pPr>
        <w:pStyle w:val="5"/>
        <w:ind w:left="-3" w:leftChars="-600" w:hanging="1257" w:hangingChars="393"/>
        <w:rPr>
          <w:rStyle w:val="17"/>
          <w:rFonts w:hint="eastAsia" w:ascii="仿宋" w:hAnsi="仿宋" w:eastAsia="仿宋"/>
          <w:b w:val="0"/>
          <w:bCs w:val="0"/>
          <w:highlight w:val="none"/>
          <w:lang w:eastAsia="zh-CN"/>
        </w:rPr>
      </w:pPr>
    </w:p>
    <w:p>
      <w:pPr>
        <w:pStyle w:val="5"/>
        <w:rPr>
          <w:rFonts w:ascii="仿宋" w:hAnsi="仿宋" w:eastAsia="仿宋"/>
          <w:color w:val="000000"/>
          <w:highlight w:val="none"/>
        </w:rPr>
      </w:pPr>
      <w:r>
        <w:rPr>
          <w:rStyle w:val="17"/>
          <w:rFonts w:hint="eastAsia" w:ascii="仿宋" w:hAnsi="仿宋" w:eastAsia="仿宋"/>
          <w:b w:val="0"/>
          <w:bCs w:val="0"/>
          <w:highlight w:val="none"/>
        </w:rPr>
        <w:t>十二、</w:t>
      </w:r>
      <w:r>
        <w:rPr>
          <w:rFonts w:hint="eastAsia" w:ascii="仿宋" w:hAnsi="仿宋" w:eastAsia="仿宋"/>
          <w:b w:val="0"/>
          <w:color w:val="000000"/>
          <w:highlight w:val="none"/>
        </w:rPr>
        <w:t>政</w:t>
      </w:r>
      <w:r>
        <w:rPr>
          <w:rStyle w:val="17"/>
          <w:rFonts w:hint="eastAsia" w:ascii="仿宋" w:hAnsi="仿宋" w:eastAsia="仿宋"/>
          <w:b w:val="0"/>
          <w:bCs w:val="0"/>
          <w:highlight w:val="none"/>
        </w:rPr>
        <w:t>府性基金预算财政拨款“三公”经费支出决算表</w:t>
      </w:r>
    </w:p>
    <w:p>
      <w:pPr>
        <w:pStyle w:val="5"/>
        <w:ind w:left="-3" w:leftChars="-600" w:hanging="1257" w:hangingChars="393"/>
        <w:rPr>
          <w:rStyle w:val="17"/>
          <w:rFonts w:hint="eastAsia" w:ascii="仿宋" w:hAnsi="仿宋" w:eastAsia="仿宋"/>
          <w:b w:val="0"/>
          <w:bCs w:val="0"/>
          <w:highlight w:val="none"/>
          <w:lang w:eastAsia="zh-CN"/>
        </w:rPr>
      </w:pPr>
      <w:r>
        <w:rPr>
          <w:rStyle w:val="17"/>
          <w:rFonts w:hint="eastAsia" w:ascii="仿宋" w:hAnsi="仿宋" w:eastAsia="仿宋"/>
          <w:b w:val="0"/>
          <w:bCs w:val="0"/>
          <w:highlight w:val="none"/>
          <w:lang w:eastAsia="zh-CN"/>
        </w:rPr>
        <w:object>
          <v:shape id="_x0000_i1042" o:spt="75" type="#_x0000_t75" style="height:373.25pt;width:723.8pt;" o:ole="t" filled="f" o:preferrelative="t" stroked="f" coordsize="21600,21600">
            <v:path/>
            <v:fill on="f" focussize="0,0"/>
            <v:stroke on="f"/>
            <v:imagedata r:id="rId45" o:title=""/>
            <o:lock v:ext="edit" aspectratio="t"/>
            <w10:wrap type="none"/>
            <w10:anchorlock/>
          </v:shape>
          <o:OLEObject Type="Embed" ProgID="Excel.Sheet.12" ShapeID="_x0000_i1042" DrawAspect="Content" ObjectID="_1468075738" r:id="rId44">
            <o:LockedField>false</o:LockedField>
          </o:OLEObject>
        </w:object>
      </w:r>
    </w:p>
    <w:p>
      <w:pPr>
        <w:pStyle w:val="5"/>
        <w:rPr>
          <w:rStyle w:val="17"/>
          <w:rFonts w:hint="eastAsia" w:ascii="仿宋" w:hAnsi="仿宋" w:eastAsia="仿宋"/>
          <w:b w:val="0"/>
          <w:bCs w:val="0"/>
          <w:highlight w:val="none"/>
        </w:rPr>
      </w:pPr>
    </w:p>
    <w:p>
      <w:pPr>
        <w:pStyle w:val="5"/>
        <w:rPr>
          <w:rStyle w:val="17"/>
          <w:rFonts w:hint="eastAsia" w:ascii="仿宋" w:hAnsi="仿宋" w:eastAsia="仿宋"/>
          <w:b w:val="0"/>
          <w:bCs w:val="0"/>
          <w:highlight w:val="none"/>
        </w:rPr>
      </w:pPr>
    </w:p>
    <w:p>
      <w:pPr>
        <w:pStyle w:val="5"/>
        <w:rPr>
          <w:rStyle w:val="17"/>
          <w:rFonts w:hint="eastAsia" w:ascii="仿宋" w:hAnsi="仿宋" w:eastAsia="仿宋"/>
          <w:b w:val="0"/>
          <w:bCs w:val="0"/>
          <w:highlight w:val="none"/>
        </w:rPr>
      </w:pPr>
    </w:p>
    <w:p>
      <w:pPr>
        <w:pStyle w:val="5"/>
        <w:rPr>
          <w:rStyle w:val="17"/>
          <w:rFonts w:hint="eastAsia" w:ascii="仿宋" w:hAnsi="仿宋" w:eastAsia="仿宋"/>
          <w:b w:val="0"/>
          <w:bCs w:val="0"/>
          <w:highlight w:val="none"/>
        </w:rPr>
      </w:pPr>
    </w:p>
    <w:p>
      <w:pPr>
        <w:pStyle w:val="5"/>
        <w:rPr>
          <w:rStyle w:val="17"/>
          <w:rFonts w:hint="eastAsia" w:ascii="仿宋" w:hAnsi="仿宋" w:eastAsia="仿宋"/>
          <w:b w:val="0"/>
          <w:bCs w:val="0"/>
          <w:highlight w:val="none"/>
        </w:rPr>
      </w:pPr>
    </w:p>
    <w:p>
      <w:pPr>
        <w:pStyle w:val="5"/>
        <w:numPr>
          <w:ilvl w:val="0"/>
          <w:numId w:val="7"/>
        </w:numPr>
        <w:rPr>
          <w:rStyle w:val="17"/>
          <w:rFonts w:hint="eastAsia" w:ascii="仿宋" w:hAnsi="仿宋" w:eastAsia="仿宋"/>
          <w:b w:val="0"/>
          <w:bCs w:val="0"/>
          <w:highlight w:val="none"/>
        </w:rPr>
      </w:pPr>
      <w:r>
        <w:rPr>
          <w:rFonts w:hint="eastAsia" w:ascii="仿宋" w:hAnsi="仿宋" w:eastAsia="仿宋"/>
          <w:b w:val="0"/>
          <w:color w:val="000000"/>
          <w:highlight w:val="none"/>
        </w:rPr>
        <w:t>国</w:t>
      </w:r>
      <w:r>
        <w:rPr>
          <w:rStyle w:val="17"/>
          <w:rFonts w:hint="eastAsia" w:ascii="仿宋" w:hAnsi="仿宋" w:eastAsia="仿宋"/>
          <w:b w:val="0"/>
          <w:bCs w:val="0"/>
          <w:highlight w:val="none"/>
        </w:rPr>
        <w:t>有资本经营预算支出决算表</w:t>
      </w:r>
    </w:p>
    <w:p>
      <w:pPr>
        <w:numPr>
          <w:numId w:val="0"/>
        </w:numPr>
        <w:ind w:left="0" w:leftChars="-600" w:hanging="1260" w:hangingChars="600"/>
        <w:rPr>
          <w:rFonts w:hint="eastAsia" w:eastAsia="宋体"/>
          <w:lang w:eastAsia="zh-CN"/>
        </w:rPr>
      </w:pPr>
      <w:r>
        <w:rPr>
          <w:rFonts w:hint="eastAsia" w:eastAsia="宋体"/>
          <w:lang w:eastAsia="zh-CN"/>
        </w:rPr>
        <w:object>
          <v:shape id="_x0000_i1044" o:spt="75" type="#_x0000_t75" style="height:400.5pt;width:695.25pt;" o:ole="t" filled="f" o:preferrelative="t" stroked="f" coordsize="21600,21600">
            <v:path/>
            <v:fill on="f" focussize="0,0"/>
            <v:stroke on="f"/>
            <v:imagedata r:id="rId47" o:title=""/>
            <o:lock v:ext="edit" aspectratio="t"/>
            <w10:wrap type="none"/>
            <w10:anchorlock/>
          </v:shape>
          <o:OLEObject Type="Embed" ProgID="Excel.Sheet.12" ShapeID="_x0000_i1044" DrawAspect="Content" ObjectID="_1468075739" r:id="rId46">
            <o:LockedField>false</o:LockedField>
          </o:OLEObject>
        </w:object>
      </w:r>
    </w:p>
    <w:p>
      <w:pPr>
        <w:spacing w:line="600" w:lineRule="exact"/>
        <w:jc w:val="center"/>
        <w:outlineLvl w:val="0"/>
        <w:rPr>
          <w:rFonts w:ascii="仿宋" w:hAnsi="仿宋" w:eastAsia="仿宋"/>
          <w:b/>
          <w:color w:val="000000"/>
          <w:sz w:val="44"/>
          <w:szCs w:val="44"/>
          <w:highlight w:val="green"/>
        </w:rPr>
      </w:pP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hint="eastAsia" w:ascii="仿宋_GB2312" w:hAnsi="Times New Roman" w:eastAsia="仿宋_GB2312" w:cs="Times New Roman"/>
          <w:sz w:val="32"/>
          <w:szCs w:val="32"/>
          <w:highlight w:val="green"/>
          <w:lang w:val="zh-CN" w:eastAsia="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0" w:firstLineChars="200"/>
        <w:jc w:val="left"/>
        <w:textAlignment w:val="auto"/>
        <w:rPr>
          <w:rFonts w:hint="eastAsia" w:ascii="仿宋_GB2312" w:hAnsi="Times New Roman" w:eastAsia="仿宋_GB2312" w:cs="Times New Roman"/>
          <w:sz w:val="32"/>
          <w:szCs w:val="32"/>
          <w:highlight w:val="green"/>
          <w:lang w:val="zh-CN" w:eastAsia="zh-CN"/>
        </w:rPr>
      </w:pPr>
    </w:p>
    <w:p>
      <w:pPr>
        <w:spacing w:line="560" w:lineRule="exact"/>
        <w:ind w:firstLine="2940" w:firstLineChars="1400"/>
        <w:rPr>
          <w:rFonts w:ascii="仿宋_GB2312"/>
          <w:bCs/>
          <w:highlight w:val="green"/>
          <w:lang w:val="zh-CN"/>
        </w:rPr>
      </w:pPr>
    </w:p>
    <w:p>
      <w:pPr>
        <w:rPr>
          <w:highlight w:val="green"/>
        </w:rPr>
      </w:pPr>
    </w:p>
    <w:p>
      <w:pPr>
        <w:pStyle w:val="2"/>
        <w:rPr>
          <w:rFonts w:ascii="仿宋_GB2312" w:hAnsi="仿宋_GB2312" w:eastAsia="仿宋_GB2312" w:cs="仿宋_GB2312"/>
          <w:sz w:val="32"/>
          <w:szCs w:val="32"/>
          <w:highlight w:val="green"/>
        </w:rPr>
      </w:pPr>
    </w:p>
    <w:p>
      <w:pPr>
        <w:pStyle w:val="2"/>
        <w:rPr>
          <w:rFonts w:ascii="仿宋_GB2312" w:hAnsi="仿宋_GB2312" w:eastAsia="仿宋_GB2312" w:cs="仿宋_GB2312"/>
          <w:sz w:val="32"/>
          <w:szCs w:val="32"/>
          <w:highlight w:val="green"/>
        </w:rPr>
      </w:pPr>
    </w:p>
    <w:p>
      <w:pPr>
        <w:pStyle w:val="2"/>
        <w:rPr>
          <w:rFonts w:ascii="仿宋_GB2312" w:hAnsi="仿宋_GB2312" w:eastAsia="仿宋_GB2312" w:cs="仿宋_GB2312"/>
          <w:sz w:val="32"/>
          <w:szCs w:val="32"/>
          <w:highlight w:val="green"/>
        </w:rPr>
      </w:pPr>
    </w:p>
    <w:p>
      <w:pPr>
        <w:pStyle w:val="2"/>
        <w:rPr>
          <w:rFonts w:ascii="仿宋_GB2312" w:hAnsi="仿宋_GB2312" w:eastAsia="仿宋_GB2312" w:cs="仿宋_GB2312"/>
          <w:sz w:val="32"/>
          <w:szCs w:val="32"/>
          <w:highlight w:val="green"/>
        </w:rPr>
      </w:pPr>
    </w:p>
    <w:p>
      <w:pPr>
        <w:pStyle w:val="2"/>
        <w:rPr>
          <w:rFonts w:ascii="仿宋_GB2312" w:hAnsi="仿宋_GB2312" w:eastAsia="仿宋_GB2312" w:cs="仿宋_GB2312"/>
          <w:sz w:val="32"/>
          <w:szCs w:val="32"/>
          <w:highlight w:val="green"/>
        </w:rPr>
      </w:pPr>
    </w:p>
    <w:p>
      <w:pPr>
        <w:pStyle w:val="2"/>
        <w:rPr>
          <w:rFonts w:ascii="仿宋_GB2312" w:hAnsi="仿宋_GB2312" w:eastAsia="仿宋_GB2312" w:cs="仿宋_GB2312"/>
          <w:sz w:val="32"/>
          <w:szCs w:val="32"/>
          <w:highlight w:val="green"/>
        </w:rPr>
      </w:pPr>
    </w:p>
    <w:p>
      <w:pPr>
        <w:pStyle w:val="2"/>
        <w:rPr>
          <w:rFonts w:ascii="仿宋_GB2312" w:hAnsi="仿宋_GB2312" w:eastAsia="仿宋_GB2312" w:cs="仿宋_GB2312"/>
          <w:sz w:val="32"/>
          <w:szCs w:val="32"/>
          <w:highlight w:val="green"/>
        </w:rPr>
      </w:pPr>
    </w:p>
    <w:p>
      <w:pPr>
        <w:pStyle w:val="2"/>
        <w:rPr>
          <w:rFonts w:ascii="仿宋_GB2312" w:hAnsi="仿宋_GB2312" w:eastAsia="仿宋_GB2312" w:cs="仿宋_GB2312"/>
          <w:sz w:val="32"/>
          <w:szCs w:val="32"/>
          <w:highlight w:val="green"/>
        </w:rPr>
      </w:pPr>
    </w:p>
    <w:p>
      <w:pPr>
        <w:pStyle w:val="2"/>
        <w:rPr>
          <w:rFonts w:ascii="仿宋_GB2312" w:hAnsi="仿宋_GB2312" w:eastAsia="仿宋_GB2312" w:cs="仿宋_GB2312"/>
          <w:sz w:val="32"/>
          <w:szCs w:val="32"/>
          <w:highlight w:val="green"/>
        </w:rPr>
      </w:pPr>
    </w:p>
    <w:p>
      <w:pPr>
        <w:pStyle w:val="2"/>
        <w:rPr>
          <w:rFonts w:ascii="仿宋_GB2312" w:hAnsi="仿宋_GB2312" w:eastAsia="仿宋_GB2312" w:cs="仿宋_GB2312"/>
          <w:sz w:val="32"/>
          <w:szCs w:val="32"/>
          <w:highlight w:val="green"/>
        </w:rPr>
      </w:pPr>
    </w:p>
    <w:p>
      <w:pPr>
        <w:pStyle w:val="2"/>
        <w:rPr>
          <w:rFonts w:ascii="仿宋_GB2312" w:hAnsi="仿宋_GB2312" w:eastAsia="仿宋_GB2312" w:cs="仿宋_GB2312"/>
          <w:sz w:val="32"/>
          <w:szCs w:val="32"/>
          <w:highlight w:val="green"/>
        </w:rPr>
      </w:pPr>
    </w:p>
    <w:p>
      <w:pPr>
        <w:pStyle w:val="2"/>
        <w:rPr>
          <w:rFonts w:ascii="仿宋_GB2312" w:hAnsi="仿宋_GB2312" w:eastAsia="仿宋_GB2312" w:cs="仿宋_GB2312"/>
          <w:sz w:val="32"/>
          <w:szCs w:val="32"/>
          <w:highlight w:val="green"/>
        </w:rPr>
      </w:pPr>
    </w:p>
    <w:p>
      <w:pPr>
        <w:pStyle w:val="2"/>
        <w:rPr>
          <w:rFonts w:ascii="仿宋_GB2312" w:hAnsi="仿宋_GB2312" w:eastAsia="仿宋_GB2312" w:cs="仿宋_GB2312"/>
          <w:sz w:val="32"/>
          <w:szCs w:val="32"/>
          <w:highlight w:val="green"/>
        </w:rPr>
      </w:pPr>
    </w:p>
    <w:p>
      <w:pPr>
        <w:pStyle w:val="2"/>
        <w:rPr>
          <w:rFonts w:ascii="仿宋_GB2312" w:hAnsi="仿宋_GB2312" w:eastAsia="仿宋_GB2312" w:cs="仿宋_GB2312"/>
          <w:sz w:val="32"/>
          <w:szCs w:val="32"/>
          <w:highlight w:val="green"/>
        </w:rPr>
      </w:pPr>
    </w:p>
    <w:p>
      <w:pPr>
        <w:widowControl/>
        <w:jc w:val="left"/>
        <w:rPr>
          <w:rStyle w:val="16"/>
          <w:rFonts w:ascii="黑体" w:hAnsi="黑体" w:eastAsia="黑体"/>
          <w:b w:val="0"/>
          <w:highlight w:val="green"/>
        </w:rPr>
      </w:pPr>
    </w:p>
    <w:p>
      <w:pPr>
        <w:widowControl/>
        <w:jc w:val="left"/>
        <w:rPr>
          <w:rStyle w:val="16"/>
          <w:rFonts w:ascii="黑体" w:hAnsi="黑体" w:eastAsia="黑体"/>
          <w:b w:val="0"/>
          <w:highlight w:val="green"/>
        </w:rPr>
      </w:pPr>
      <w:r>
        <w:rPr>
          <w:rStyle w:val="16"/>
          <w:rFonts w:ascii="黑体" w:hAnsi="黑体" w:eastAsia="黑体"/>
          <w:b w:val="0"/>
          <w:highlight w:val="green"/>
        </w:rPr>
        <w:br w:type="page"/>
      </w:r>
    </w:p>
    <w:p>
      <w:pPr>
        <w:spacing w:line="600" w:lineRule="exact"/>
        <w:jc w:val="center"/>
        <w:outlineLvl w:val="0"/>
        <w:rPr>
          <w:rStyle w:val="16"/>
          <w:rFonts w:ascii="黑体" w:hAnsi="黑体" w:eastAsia="黑体"/>
          <w:b w:val="0"/>
          <w:highlight w:val="green"/>
        </w:rPr>
      </w:pPr>
    </w:p>
    <w:bookmarkEnd w:id="58"/>
    <w:p>
      <w:pPr>
        <w:pStyle w:val="5"/>
        <w:rPr>
          <w:rFonts w:ascii="仿宋" w:hAnsi="仿宋" w:eastAsia="仿宋"/>
          <w:color w:val="000000" w:themeColor="text1"/>
          <w:highlight w:val="green"/>
          <w14:textFill>
            <w14:solidFill>
              <w14:schemeClr w14:val="tx1"/>
            </w14:solidFill>
          </w14:textFill>
        </w:rPr>
      </w:pPr>
    </w:p>
    <w:p>
      <w:pPr>
        <w:rPr>
          <w:highlight w:val="green"/>
        </w:rPr>
      </w:pP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7"/>
          <w:jc w:val="center"/>
        </w:pPr>
        <w:r>
          <w:fldChar w:fldCharType="begin"/>
        </w:r>
        <w:r>
          <w:instrText xml:space="preserve">PAGE   \* MERGEFORMAT</w:instrText>
        </w:r>
        <w:r>
          <w:fldChar w:fldCharType="separate"/>
        </w:r>
        <w:r>
          <w:rPr>
            <w:lang w:val="zh-CN"/>
          </w:rPr>
          <w:t>20</w:t>
        </w:r>
        <w: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44929"/>
    <w:multiLevelType w:val="singleLevel"/>
    <w:tmpl w:val="93744929"/>
    <w:lvl w:ilvl="0" w:tentative="0">
      <w:start w:val="1"/>
      <w:numFmt w:val="decimal"/>
      <w:lvlText w:val="%1."/>
      <w:lvlJc w:val="left"/>
      <w:pPr>
        <w:tabs>
          <w:tab w:val="left" w:pos="312"/>
        </w:tabs>
      </w:pPr>
    </w:lvl>
  </w:abstractNum>
  <w:abstractNum w:abstractNumId="1">
    <w:nsid w:val="B44C2CB0"/>
    <w:multiLevelType w:val="singleLevel"/>
    <w:tmpl w:val="B44C2CB0"/>
    <w:lvl w:ilvl="0" w:tentative="0">
      <w:start w:val="4"/>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E9972E8F"/>
    <w:multiLevelType w:val="singleLevel"/>
    <w:tmpl w:val="E9972E8F"/>
    <w:lvl w:ilvl="0" w:tentative="0">
      <w:start w:val="1"/>
      <w:numFmt w:val="decimal"/>
      <w:suff w:val="nothing"/>
      <w:lvlText w:val="（%1）"/>
      <w:lvlJc w:val="left"/>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77296BF2"/>
    <w:multiLevelType w:val="singleLevel"/>
    <w:tmpl w:val="77296BF2"/>
    <w:lvl w:ilvl="0" w:tentative="0">
      <w:start w:val="13"/>
      <w:numFmt w:val="chineseCounting"/>
      <w:suff w:val="nothing"/>
      <w:lvlText w:val="%1、"/>
      <w:lvlJc w:val="left"/>
      <w:rPr>
        <w:rFonts w:hint="eastAsia"/>
      </w:rPr>
    </w:lvl>
  </w:abstractNum>
  <w:num w:numId="1">
    <w:abstractNumId w:val="5"/>
  </w:num>
  <w:num w:numId="2">
    <w:abstractNumId w:val="2"/>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F766B"/>
    <w:rsid w:val="0A6F4822"/>
    <w:rsid w:val="0CCF45BA"/>
    <w:rsid w:val="131C3AFF"/>
    <w:rsid w:val="337673D6"/>
    <w:rsid w:val="38AA6BA3"/>
    <w:rsid w:val="3F385F0B"/>
    <w:rsid w:val="44082163"/>
    <w:rsid w:val="44ED74A7"/>
    <w:rsid w:val="48A907C0"/>
    <w:rsid w:val="560C270E"/>
    <w:rsid w:val="5F2F766B"/>
    <w:rsid w:val="63254E95"/>
    <w:rsid w:val="6A63026E"/>
    <w:rsid w:val="719F0C1E"/>
    <w:rsid w:val="73D56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ind w:firstLine="600" w:firstLineChars="200"/>
    </w:pPr>
    <w:rPr>
      <w:rFonts w:eastAsia="黑体"/>
      <w:sz w:val="30"/>
    </w:rPr>
  </w:style>
  <w:style w:type="paragraph" w:styleId="6">
    <w:name w:val="Body Text"/>
    <w:basedOn w:val="1"/>
    <w:qFormat/>
    <w:uiPriority w:val="99"/>
    <w:pPr>
      <w:spacing w:beforeLines="30"/>
    </w:pPr>
    <w:rPr>
      <w:rFonts w:ascii="仿宋_GB2312" w:eastAsia="仿宋_GB2312"/>
      <w:kern w:val="0"/>
      <w:sz w:val="30"/>
    </w:rPr>
  </w:style>
  <w:style w:type="paragraph" w:styleId="7">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0">
    <w:name w:val="toc 2"/>
    <w:basedOn w:val="1"/>
    <w:next w:val="1"/>
    <w:unhideWhenUsed/>
    <w:qFormat/>
    <w:uiPriority w:val="39"/>
    <w:pPr>
      <w:tabs>
        <w:tab w:val="right" w:leader="dot" w:pos="8296"/>
      </w:tabs>
      <w:ind w:left="420" w:left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99"/>
    <w:rPr>
      <w:b/>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customStyle="1" w:styleId="16">
    <w:name w:val="标题 1 字符"/>
    <w:basedOn w:val="13"/>
    <w:link w:val="4"/>
    <w:qFormat/>
    <w:uiPriority w:val="9"/>
    <w:rPr>
      <w:b/>
      <w:bCs/>
      <w:kern w:val="44"/>
      <w:sz w:val="44"/>
      <w:szCs w:val="44"/>
    </w:rPr>
  </w:style>
  <w:style w:type="character" w:customStyle="1" w:styleId="17">
    <w:name w:val="标题 2 字符"/>
    <w:basedOn w:val="13"/>
    <w:link w:val="5"/>
    <w:qFormat/>
    <w:uiPriority w:val="9"/>
    <w:rPr>
      <w:rFonts w:asciiTheme="majorHAnsi" w:hAnsiTheme="majorHAnsi" w:eastAsiaTheme="majorEastAsia" w:cstheme="majorBidi"/>
      <w:b/>
      <w:bCs/>
      <w:sz w:val="32"/>
      <w:szCs w:val="32"/>
    </w:rPr>
  </w:style>
  <w:style w:type="paragraph"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0">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0" Type="http://schemas.openxmlformats.org/officeDocument/2006/relationships/fontTable" Target="fontTable.xml"/><Relationship Id="rId5" Type="http://schemas.openxmlformats.org/officeDocument/2006/relationships/theme" Target="theme/theme1.xml"/><Relationship Id="rId49" Type="http://schemas.openxmlformats.org/officeDocument/2006/relationships/numbering" Target="numbering.xml"/><Relationship Id="rId48" Type="http://schemas.openxmlformats.org/officeDocument/2006/relationships/customXml" Target="../customXml/item1.xml"/><Relationship Id="rId47" Type="http://schemas.openxmlformats.org/officeDocument/2006/relationships/image" Target="media/image20.emf"/><Relationship Id="rId46" Type="http://schemas.openxmlformats.org/officeDocument/2006/relationships/oleObject" Target="embeddings/oleObject15.bin"/><Relationship Id="rId45" Type="http://schemas.openxmlformats.org/officeDocument/2006/relationships/image" Target="media/image19.emf"/><Relationship Id="rId44" Type="http://schemas.openxmlformats.org/officeDocument/2006/relationships/oleObject" Target="embeddings/oleObject14.bin"/><Relationship Id="rId43" Type="http://schemas.openxmlformats.org/officeDocument/2006/relationships/image" Target="media/image18.emf"/><Relationship Id="rId42" Type="http://schemas.openxmlformats.org/officeDocument/2006/relationships/oleObject" Target="embeddings/oleObject13.bin"/><Relationship Id="rId41" Type="http://schemas.openxmlformats.org/officeDocument/2006/relationships/image" Target="media/image17.emf"/><Relationship Id="rId40" Type="http://schemas.openxmlformats.org/officeDocument/2006/relationships/oleObject" Target="embeddings/oleObject12.bin"/><Relationship Id="rId4" Type="http://schemas.openxmlformats.org/officeDocument/2006/relationships/footer" Target="footer1.xml"/><Relationship Id="rId39" Type="http://schemas.openxmlformats.org/officeDocument/2006/relationships/image" Target="media/image16.emf"/><Relationship Id="rId38" Type="http://schemas.openxmlformats.org/officeDocument/2006/relationships/oleObject" Target="embeddings/oleObject11.bin"/><Relationship Id="rId37" Type="http://schemas.openxmlformats.org/officeDocument/2006/relationships/image" Target="media/image15.emf"/><Relationship Id="rId36" Type="http://schemas.openxmlformats.org/officeDocument/2006/relationships/oleObject" Target="embeddings/oleObject10.bin"/><Relationship Id="rId35" Type="http://schemas.openxmlformats.org/officeDocument/2006/relationships/image" Target="media/image14.png"/><Relationship Id="rId34" Type="http://schemas.openxmlformats.org/officeDocument/2006/relationships/image" Target="media/image13.png"/><Relationship Id="rId33" Type="http://schemas.openxmlformats.org/officeDocument/2006/relationships/image" Target="media/image12.png"/><Relationship Id="rId32" Type="http://schemas.openxmlformats.org/officeDocument/2006/relationships/image" Target="media/image11.png"/><Relationship Id="rId31" Type="http://schemas.openxmlformats.org/officeDocument/2006/relationships/image" Target="media/image10.png"/><Relationship Id="rId30" Type="http://schemas.openxmlformats.org/officeDocument/2006/relationships/image" Target="media/image9.e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8.emf"/><Relationship Id="rId27" Type="http://schemas.openxmlformats.org/officeDocument/2006/relationships/oleObject" Target="embeddings/oleObject8.bin"/><Relationship Id="rId26" Type="http://schemas.openxmlformats.org/officeDocument/2006/relationships/image" Target="media/image7.emf"/><Relationship Id="rId25" Type="http://schemas.openxmlformats.org/officeDocument/2006/relationships/oleObject" Target="embeddings/oleObject7.bin"/><Relationship Id="rId24" Type="http://schemas.openxmlformats.org/officeDocument/2006/relationships/image" Target="media/image6.emf"/><Relationship Id="rId23" Type="http://schemas.openxmlformats.org/officeDocument/2006/relationships/oleObject" Target="embeddings/oleObject6.bin"/><Relationship Id="rId22" Type="http://schemas.openxmlformats.org/officeDocument/2006/relationships/image" Target="media/image5.emf"/><Relationship Id="rId21" Type="http://schemas.openxmlformats.org/officeDocument/2006/relationships/oleObject" Target="embeddings/oleObject5.bin"/><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3.emf"/><Relationship Id="rId17" Type="http://schemas.openxmlformats.org/officeDocument/2006/relationships/oleObject" Target="embeddings/oleObject3.bin"/><Relationship Id="rId16" Type="http://schemas.openxmlformats.org/officeDocument/2006/relationships/image" Target="media/image2.emf"/><Relationship Id="rId15" Type="http://schemas.openxmlformats.org/officeDocument/2006/relationships/oleObject" Target="embeddings/oleObject2.bin"/><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598085513720485"/>
          <c:y val="0.0498718247494756"/>
          <c:w val="0.910925"/>
          <c:h val="0.8069"/>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numRef>
              <c:f>Sheet1!$A$2:$A$3</c:f>
              <c:numCache>
                <c:formatCode>General</c:formatCode>
                <c:ptCount val="2"/>
                <c:pt idx="0">
                  <c:v>2018</c:v>
                </c:pt>
                <c:pt idx="1">
                  <c:v>2019</c:v>
                </c:pt>
              </c:numCache>
            </c:numRef>
          </c:cat>
          <c:val>
            <c:numRef>
              <c:f>Sheet1!$B$2:$B$3</c:f>
              <c:numCache>
                <c:formatCode>General</c:formatCode>
                <c:ptCount val="2"/>
                <c:pt idx="0">
                  <c:v>1340.55</c:v>
                </c:pt>
                <c:pt idx="1">
                  <c:v>1220.25</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numRef>
              <c:f>Sheet1!$A$2:$A$3</c:f>
              <c:numCache>
                <c:formatCode>General</c:formatCode>
                <c:ptCount val="2"/>
                <c:pt idx="0">
                  <c:v>2018</c:v>
                </c:pt>
                <c:pt idx="1">
                  <c:v>2019</c:v>
                </c:pt>
              </c:numCache>
            </c:numRef>
          </c:cat>
          <c:val>
            <c:numRef>
              <c:f>Sheet1!$C$2:$C$3</c:f>
              <c:numCache>
                <c:formatCode>General</c:formatCode>
                <c:ptCount val="2"/>
                <c:pt idx="0">
                  <c:v>1340.55</c:v>
                </c:pt>
                <c:pt idx="1">
                  <c:v>1220.25</c:v>
                </c:pt>
              </c:numCache>
            </c:numRef>
          </c:val>
        </c:ser>
        <c:dLbls>
          <c:showLegendKey val="0"/>
          <c:showVal val="0"/>
          <c:showCatName val="0"/>
          <c:showSerName val="0"/>
          <c:showPercent val="0"/>
          <c:showBubbleSize val="0"/>
        </c:dLbls>
        <c:gapWidth val="219"/>
        <c:overlap val="-27"/>
        <c:axId val="60558219"/>
        <c:axId val="995393682"/>
      </c:barChart>
      <c:catAx>
        <c:axId val="6055821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5393682"/>
        <c:crosses val="autoZero"/>
        <c:auto val="1"/>
        <c:lblAlgn val="ctr"/>
        <c:lblOffset val="100"/>
        <c:noMultiLvlLbl val="0"/>
      </c:catAx>
      <c:valAx>
        <c:axId val="99539368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055821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2146875"/>
          <c:y val="0.1295"/>
          <c:w val="0.570625"/>
          <c:h val="0.760833333333333"/>
        </c:manualLayout>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elete val="1"/>
          </c:dLbls>
          <c:cat>
            <c:strRef>
              <c:f>Sheet1!$A$2:$A$8</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Sheet1!$B$2:$B$8</c:f>
              <c:numCache>
                <c:formatCode>General</c:formatCode>
                <c:ptCount val="7"/>
                <c:pt idx="0">
                  <c:v>1118.41</c:v>
                </c:pt>
                <c:pt idx="1">
                  <c:v>0</c:v>
                </c:pt>
                <c:pt idx="2">
                  <c:v>0</c:v>
                </c:pt>
                <c:pt idx="3">
                  <c:v>0</c:v>
                </c:pt>
                <c:pt idx="4">
                  <c:v>0</c:v>
                </c:pt>
                <c:pt idx="5">
                  <c:v>0</c:v>
                </c:pt>
                <c:pt idx="6">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39678096571029"/>
          <c:y val="0.834925211749865"/>
          <c:w val="0.706228131560532"/>
          <c:h val="0.15966840872229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本年支出</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基本支出</c:v>
                </c:pt>
                <c:pt idx="1">
                  <c:v>项目支出</c:v>
                </c:pt>
                <c:pt idx="2">
                  <c:v>上缴上级支出</c:v>
                </c:pt>
                <c:pt idx="3">
                  <c:v>经营支出</c:v>
                </c:pt>
              </c:strCache>
            </c:strRef>
          </c:cat>
          <c:val>
            <c:numRef>
              <c:f>Sheet1!$B$2:$B$5</c:f>
              <c:numCache>
                <c:formatCode>General</c:formatCode>
                <c:ptCount val="4"/>
                <c:pt idx="0">
                  <c:v>526.38</c:v>
                </c:pt>
                <c:pt idx="1">
                  <c:v>688.48</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财政拨款收、支决算总数</a:t>
            </a:r>
          </a:p>
        </c:rich>
      </c:tx>
      <c:layout>
        <c:manualLayout>
          <c:xMode val="edge"/>
          <c:yMode val="edge"/>
          <c:x val="0.306606359649123"/>
          <c:y val="0.022955279714334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elete val="1"/>
          </c:dLbls>
          <c:cat>
            <c:numRef>
              <c:f>Sheet1!$A$2:$A$3</c:f>
              <c:numCache>
                <c:formatCode>General</c:formatCode>
                <c:ptCount val="2"/>
                <c:pt idx="0">
                  <c:v>2018</c:v>
                </c:pt>
                <c:pt idx="1">
                  <c:v>2019</c:v>
                </c:pt>
              </c:numCache>
            </c:numRef>
          </c:cat>
          <c:val>
            <c:numRef>
              <c:f>Sheet1!$B$2:$B$3</c:f>
              <c:numCache>
                <c:formatCode>General</c:formatCode>
                <c:ptCount val="2"/>
                <c:pt idx="0">
                  <c:v>1340.55</c:v>
                </c:pt>
                <c:pt idx="1">
                  <c:v>1220.25</c:v>
                </c:pt>
              </c:numCache>
            </c:numRef>
          </c:val>
        </c:ser>
        <c:ser>
          <c:idx val="1"/>
          <c:order val="1"/>
          <c:tx>
            <c:strRef>
              <c:f>Sheet1!$C$1</c:f>
              <c:strCache>
                <c:ptCount val="1"/>
                <c:pt idx="0">
                  <c:v>支出</c:v>
                </c:pt>
              </c:strCache>
            </c:strRef>
          </c:tx>
          <c:spPr>
            <a:solidFill>
              <a:schemeClr val="accent2"/>
            </a:solidFill>
            <a:ln>
              <a:noFill/>
            </a:ln>
            <a:effectLst/>
          </c:spPr>
          <c:invertIfNegative val="0"/>
          <c:dLbls>
            <c:delete val="1"/>
          </c:dLbls>
          <c:cat>
            <c:numRef>
              <c:f>Sheet1!$A$2:$A$3</c:f>
              <c:numCache>
                <c:formatCode>General</c:formatCode>
                <c:ptCount val="2"/>
                <c:pt idx="0">
                  <c:v>2018</c:v>
                </c:pt>
                <c:pt idx="1">
                  <c:v>2019</c:v>
                </c:pt>
              </c:numCache>
            </c:numRef>
          </c:cat>
          <c:val>
            <c:numRef>
              <c:f>Sheet1!$C$2:$C$3</c:f>
              <c:numCache>
                <c:formatCode>General</c:formatCode>
                <c:ptCount val="2"/>
                <c:pt idx="0">
                  <c:v>1340.55</c:v>
                </c:pt>
                <c:pt idx="1">
                  <c:v>1220.25</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2018</c:v>
                </c:pt>
                <c:pt idx="1">
                  <c:v>2019</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610730095"/>
        <c:axId val="72841220"/>
      </c:barChart>
      <c:catAx>
        <c:axId val="61073009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2841220"/>
        <c:crosses val="autoZero"/>
        <c:auto val="1"/>
        <c:lblAlgn val="ctr"/>
        <c:lblOffset val="100"/>
        <c:noMultiLvlLbl val="0"/>
      </c:catAx>
      <c:valAx>
        <c:axId val="728412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10730095"/>
        <c:crosses val="autoZero"/>
        <c:crossBetween val="between"/>
      </c:valAx>
      <c:spPr>
        <a:noFill/>
        <a:ln>
          <a:noFill/>
        </a:ln>
        <a:effectLst/>
      </c:spPr>
    </c:plotArea>
    <c:legend>
      <c:legendPos val="b"/>
      <c:legendEntry>
        <c:idx val="2"/>
        <c:delete val="1"/>
      </c:legendEntry>
      <c:layout>
        <c:manualLayout>
          <c:xMode val="edge"/>
          <c:yMode val="edge"/>
          <c:x val="0.40725"/>
          <c:y val="0.9245"/>
          <c:w val="0.1855"/>
          <c:h val="0.05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delete val="1"/>
          </c:dLbls>
          <c:cat>
            <c:numRef>
              <c:f>Sheet1!$A$2:$A$3</c:f>
              <c:numCache>
                <c:formatCode>General</c:formatCode>
                <c:ptCount val="2"/>
                <c:pt idx="0">
                  <c:v>2018</c:v>
                </c:pt>
                <c:pt idx="1">
                  <c:v>2019</c:v>
                </c:pt>
              </c:numCache>
            </c:numRef>
          </c:cat>
          <c:val>
            <c:numRef>
              <c:f>Sheet1!$B$2:$B$3</c:f>
              <c:numCache>
                <c:formatCode>General</c:formatCode>
                <c:ptCount val="2"/>
                <c:pt idx="0">
                  <c:v>1340.55</c:v>
                </c:pt>
                <c:pt idx="1">
                  <c:v>1220.25</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Sheet1!$A$2:$A$3</c:f>
              <c:numCache>
                <c:formatCode>General</c:formatCode>
                <c:ptCount val="2"/>
                <c:pt idx="0">
                  <c:v>2018</c:v>
                </c:pt>
                <c:pt idx="1">
                  <c:v>2019</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Sheet1!$A$2:$A$3</c:f>
              <c:numCache>
                <c:formatCode>General</c:formatCode>
                <c:ptCount val="2"/>
                <c:pt idx="0">
                  <c:v>2018</c:v>
                </c:pt>
                <c:pt idx="1">
                  <c:v>2019</c:v>
                </c:pt>
              </c:numCache>
            </c:numRef>
          </c:cat>
          <c:val>
            <c:numRef>
              <c:f>Sheet1!#REF!</c:f>
              <c:numCache>
                <c:formatCode>General</c:formatCode>
                <c:ptCount val="1"/>
                <c:pt idx="0">
                  <c:v>1</c:v>
                </c:pt>
              </c:numCache>
            </c:numRef>
          </c:val>
        </c:ser>
        <c:dLbls>
          <c:showLegendKey val="0"/>
          <c:showVal val="0"/>
          <c:showCatName val="0"/>
          <c:showSerName val="0"/>
          <c:showPercent val="0"/>
          <c:showBubbleSize val="0"/>
        </c:dLbls>
        <c:gapWidth val="150"/>
        <c:overlap val="100"/>
        <c:axId val="16898536"/>
        <c:axId val="295907952"/>
      </c:barChart>
      <c:catAx>
        <c:axId val="168985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5907952"/>
        <c:crosses val="autoZero"/>
        <c:auto val="1"/>
        <c:lblAlgn val="ctr"/>
        <c:lblOffset val="100"/>
        <c:noMultiLvlLbl val="0"/>
      </c:catAx>
      <c:valAx>
        <c:axId val="29590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6898536"/>
        <c:crosses val="autoZero"/>
        <c:crossBetween val="between"/>
      </c:valAx>
      <c:spPr>
        <a:noFill/>
        <a:ln>
          <a:noFill/>
        </a:ln>
        <a:effectLst/>
      </c:spPr>
    </c:plotArea>
    <c:legend>
      <c:legendPos val="b"/>
      <c:legendEntry>
        <c:idx val="1"/>
        <c:delete val="1"/>
      </c:legendEntry>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社会保障和就业支出</c:v>
                </c:pt>
                <c:pt idx="1">
                  <c:v>卫生健康支出</c:v>
                </c:pt>
                <c:pt idx="2">
                  <c:v>农林水支出</c:v>
                </c:pt>
                <c:pt idx="3">
                  <c:v>住房保障支出</c:v>
                </c:pt>
              </c:strCache>
            </c:strRef>
          </c:cat>
          <c:val>
            <c:numRef>
              <c:f>Sheet1!$B$2:$B$5</c:f>
              <c:numCache>
                <c:formatCode>General</c:formatCode>
                <c:ptCount val="4"/>
                <c:pt idx="0">
                  <c:v>52.27</c:v>
                </c:pt>
                <c:pt idx="1">
                  <c:v>498.91</c:v>
                </c:pt>
                <c:pt idx="2">
                  <c:v>629</c:v>
                </c:pt>
                <c:pt idx="3">
                  <c:v>34.69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“三公”经费支出</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66.09</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2020-09-23T03:37:00Z</dcterms:created>
  <dc:creator>ybyd</dc:creator>
  <cp:lastModifiedBy>ybyd</cp:lastModifiedBy>
  <dcterms:modified xsi:type="dcterms:W3CDTF">2020-09-24T07:24:12Z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